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3B" w:rsidRPr="00D23F46" w:rsidRDefault="00660165" w:rsidP="00D23F46">
      <w:pPr>
        <w:jc w:val="center"/>
        <w:rPr>
          <w:rFonts w:ascii="Times New Roman" w:eastAsia="Times New Roman" w:hAnsi="Times New Roman" w:cs="Times New Roman"/>
          <w:b/>
          <w:bCs/>
          <w:color w:val="414142"/>
          <w:sz w:val="28"/>
          <w:szCs w:val="28"/>
          <w:lang w:eastAsia="lv-LV"/>
        </w:rPr>
      </w:pPr>
      <w:r w:rsidRPr="008960A2">
        <w:rPr>
          <w:rFonts w:ascii="Times New Roman" w:eastAsia="Times New Roman" w:hAnsi="Times New Roman" w:cs="Times New Roman"/>
          <w:b/>
          <w:bCs/>
          <w:color w:val="414142"/>
          <w:sz w:val="28"/>
          <w:szCs w:val="28"/>
          <w:lang w:eastAsia="lv-LV"/>
        </w:rPr>
        <w:t xml:space="preserve"> </w:t>
      </w:r>
      <w:r w:rsidR="00BF494F">
        <w:rPr>
          <w:rFonts w:ascii="Times New Roman" w:eastAsia="Times New Roman" w:hAnsi="Times New Roman" w:cs="Times New Roman"/>
          <w:b/>
          <w:bCs/>
          <w:color w:val="414142"/>
          <w:sz w:val="28"/>
          <w:szCs w:val="28"/>
          <w:lang w:eastAsia="lv-LV"/>
        </w:rPr>
        <w:t>Ministru kabineta noteikumu projekta “</w:t>
      </w:r>
      <w:r w:rsidRPr="00473F49">
        <w:rPr>
          <w:rFonts w:ascii="Times New Roman" w:eastAsia="Times New Roman" w:hAnsi="Times New Roman" w:cs="Times New Roman"/>
          <w:b/>
          <w:bCs/>
          <w:sz w:val="28"/>
          <w:szCs w:val="28"/>
          <w:lang w:eastAsia="lv-LV"/>
        </w:rPr>
        <w:t xml:space="preserve">Noteikumu </w:t>
      </w:r>
      <w:r w:rsidR="001341DC" w:rsidRPr="00473F49">
        <w:rPr>
          <w:rFonts w:ascii="Times New Roman" w:eastAsia="Times New Roman" w:hAnsi="Times New Roman" w:cs="Times New Roman"/>
          <w:b/>
          <w:bCs/>
          <w:sz w:val="28"/>
          <w:szCs w:val="28"/>
          <w:lang w:eastAsia="lv-LV"/>
        </w:rPr>
        <w:t>kārtība un apjoms, kādā Noziedzīgi iegūtu līdzekļu legalizācijas un terorisma finansēšanas novēršanas likuma subjekts veic klienta neklātienes identifikāciju</w:t>
      </w:r>
      <w:r w:rsidR="00BF494F">
        <w:rPr>
          <w:rFonts w:ascii="Times New Roman" w:eastAsia="Times New Roman" w:hAnsi="Times New Roman" w:cs="Times New Roman"/>
          <w:b/>
          <w:bCs/>
          <w:sz w:val="28"/>
          <w:szCs w:val="28"/>
          <w:lang w:eastAsia="lv-LV"/>
        </w:rPr>
        <w:t>”</w:t>
      </w:r>
      <w:r w:rsidR="001341DC" w:rsidRPr="00473F49">
        <w:rPr>
          <w:rFonts w:ascii="Times New Roman" w:eastAsia="Times New Roman" w:hAnsi="Times New Roman" w:cs="Times New Roman"/>
          <w:b/>
          <w:bCs/>
          <w:sz w:val="28"/>
          <w:szCs w:val="28"/>
          <w:lang w:eastAsia="lv-LV"/>
        </w:rPr>
        <w:t xml:space="preserve"> </w:t>
      </w:r>
      <w:r w:rsidR="00894C55" w:rsidRPr="00473F49">
        <w:rPr>
          <w:rFonts w:ascii="Times New Roman" w:eastAsia="Times New Roman" w:hAnsi="Times New Roman" w:cs="Times New Roman"/>
          <w:b/>
          <w:bCs/>
          <w:sz w:val="28"/>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960A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960A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473F49">
              <w:rPr>
                <w:rFonts w:ascii="Times New Roman" w:eastAsia="Times New Roman" w:hAnsi="Times New Roman" w:cs="Times New Roman"/>
                <w:b/>
                <w:bCs/>
                <w:iCs/>
                <w:sz w:val="24"/>
                <w:szCs w:val="24"/>
                <w:lang w:eastAsia="lv-LV"/>
              </w:rPr>
              <w:t>Tiesību akta projekta anotācijas kopsavilkums</w:t>
            </w:r>
          </w:p>
        </w:tc>
      </w:tr>
      <w:tr w:rsidR="00E5323B" w:rsidRPr="008960A2"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473F4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473F49" w:rsidRDefault="008E48B5" w:rsidP="00561DF1">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Atbilstoši Noziedzīgi iegūtu līdzekļu legalizācijas un terorisma finansēšanas novēršanas likuma (turpmāk - </w:t>
            </w:r>
            <w:r w:rsidR="004C1834">
              <w:rPr>
                <w:rFonts w:ascii="Times New Roman" w:eastAsia="Times New Roman" w:hAnsi="Times New Roman" w:cs="Times New Roman"/>
                <w:iCs/>
                <w:sz w:val="24"/>
                <w:szCs w:val="24"/>
                <w:lang w:eastAsia="lv-LV"/>
              </w:rPr>
              <w:t>NILLTFNL</w:t>
            </w:r>
            <w:r w:rsidRPr="00473F49">
              <w:rPr>
                <w:rFonts w:ascii="Times New Roman" w:eastAsia="Times New Roman" w:hAnsi="Times New Roman" w:cs="Times New Roman"/>
                <w:iCs/>
                <w:sz w:val="24"/>
                <w:szCs w:val="24"/>
                <w:lang w:eastAsia="lv-LV"/>
              </w:rPr>
              <w:t xml:space="preserve">) 22.panta </w:t>
            </w:r>
            <w:r w:rsidR="0029635F">
              <w:rPr>
                <w:rFonts w:ascii="Times New Roman" w:eastAsia="Times New Roman" w:hAnsi="Times New Roman" w:cs="Times New Roman"/>
                <w:iCs/>
                <w:sz w:val="24"/>
                <w:szCs w:val="24"/>
                <w:lang w:eastAsia="lv-LV"/>
              </w:rPr>
              <w:t>trešo daļu</w:t>
            </w:r>
            <w:r w:rsidRPr="00473F49">
              <w:rPr>
                <w:rFonts w:ascii="Times New Roman" w:eastAsia="Times New Roman" w:hAnsi="Times New Roman" w:cs="Times New Roman"/>
                <w:iCs/>
                <w:sz w:val="24"/>
                <w:szCs w:val="24"/>
                <w:lang w:eastAsia="lv-LV"/>
              </w:rPr>
              <w:t xml:space="preserve"> ir izstrādāt</w:t>
            </w:r>
            <w:r w:rsidR="00BF494F">
              <w:rPr>
                <w:rFonts w:ascii="Times New Roman" w:eastAsia="Times New Roman" w:hAnsi="Times New Roman" w:cs="Times New Roman"/>
                <w:iCs/>
                <w:sz w:val="24"/>
                <w:szCs w:val="24"/>
                <w:lang w:eastAsia="lv-LV"/>
              </w:rPr>
              <w:t>s</w:t>
            </w:r>
            <w:r w:rsidRPr="00473F49">
              <w:rPr>
                <w:rFonts w:ascii="Times New Roman" w:eastAsia="Times New Roman" w:hAnsi="Times New Roman" w:cs="Times New Roman"/>
                <w:iCs/>
                <w:sz w:val="24"/>
                <w:szCs w:val="24"/>
                <w:lang w:eastAsia="lv-LV"/>
              </w:rPr>
              <w:t xml:space="preserve"> Ministru kabineta noteikum</w:t>
            </w:r>
            <w:r w:rsidR="00BF494F">
              <w:rPr>
                <w:rFonts w:ascii="Times New Roman" w:eastAsia="Times New Roman" w:hAnsi="Times New Roman" w:cs="Times New Roman"/>
                <w:iCs/>
                <w:sz w:val="24"/>
                <w:szCs w:val="24"/>
                <w:lang w:eastAsia="lv-LV"/>
              </w:rPr>
              <w:t>u projekts</w:t>
            </w:r>
            <w:r w:rsidRPr="00473F49">
              <w:rPr>
                <w:rFonts w:ascii="Times New Roman" w:eastAsia="Times New Roman" w:hAnsi="Times New Roman" w:cs="Times New Roman"/>
                <w:iCs/>
                <w:sz w:val="24"/>
                <w:szCs w:val="24"/>
                <w:lang w:eastAsia="lv-LV"/>
              </w:rPr>
              <w:t xml:space="preserve"> “Kārtība un apjoms, kādā Noziedzīgi iegūtu līdzekļu legalizācijas un terorisma finansēšanas novēršanas likuma subjekts veic klienta neklātienes identifikāciju” (turpmāk – MK noteikumu projekts).</w:t>
            </w:r>
            <w:r w:rsidR="00C2508B" w:rsidRPr="00473F49">
              <w:rPr>
                <w:rFonts w:ascii="Times New Roman" w:eastAsia="Times New Roman" w:hAnsi="Times New Roman" w:cs="Times New Roman"/>
                <w:iCs/>
                <w:sz w:val="24"/>
                <w:szCs w:val="24"/>
                <w:lang w:eastAsia="lv-LV"/>
              </w:rPr>
              <w:t xml:space="preserve"> Viens no galvenajiem MK noteikumu projekta mērķiem ir likvidēt šķēršļus, kas patlaban ierobežo pakalpojumu sniegšanas efektivitāti, izmantojot tehnoloģiskos risinājumus</w:t>
            </w:r>
            <w:r w:rsidR="00F10C77" w:rsidRPr="00473F49">
              <w:rPr>
                <w:rFonts w:ascii="Times New Roman" w:eastAsia="Times New Roman" w:hAnsi="Times New Roman" w:cs="Times New Roman"/>
                <w:iCs/>
                <w:sz w:val="24"/>
                <w:szCs w:val="24"/>
                <w:lang w:eastAsia="lv-LV"/>
              </w:rPr>
              <w:t>,</w:t>
            </w:r>
            <w:r w:rsidR="00C2508B" w:rsidRPr="00473F49">
              <w:rPr>
                <w:rFonts w:ascii="Times New Roman" w:eastAsia="Times New Roman" w:hAnsi="Times New Roman" w:cs="Times New Roman"/>
                <w:iCs/>
                <w:sz w:val="24"/>
                <w:szCs w:val="24"/>
                <w:lang w:eastAsia="lv-LV"/>
              </w:rPr>
              <w:t xml:space="preserve"> attālināti veicot klienta identifikāciju</w:t>
            </w:r>
            <w:r w:rsidR="00F10C77" w:rsidRPr="00473F49">
              <w:rPr>
                <w:rFonts w:ascii="Times New Roman" w:eastAsia="Times New Roman" w:hAnsi="Times New Roman" w:cs="Times New Roman"/>
                <w:iCs/>
                <w:sz w:val="24"/>
                <w:szCs w:val="24"/>
                <w:lang w:eastAsia="lv-LV"/>
              </w:rPr>
              <w:t>,</w:t>
            </w:r>
            <w:r w:rsidR="00C2508B" w:rsidRPr="00473F49">
              <w:rPr>
                <w:rFonts w:ascii="Times New Roman" w:eastAsia="Times New Roman" w:hAnsi="Times New Roman" w:cs="Times New Roman"/>
                <w:iCs/>
                <w:sz w:val="24"/>
                <w:szCs w:val="24"/>
                <w:lang w:eastAsia="lv-LV"/>
              </w:rPr>
              <w:t xml:space="preserve"> tādējādi radot iespēju piekļ</w:t>
            </w:r>
            <w:r w:rsidR="00F10C77" w:rsidRPr="00473F49">
              <w:rPr>
                <w:rFonts w:ascii="Times New Roman" w:eastAsia="Times New Roman" w:hAnsi="Times New Roman" w:cs="Times New Roman"/>
                <w:iCs/>
                <w:sz w:val="24"/>
                <w:szCs w:val="24"/>
                <w:lang w:eastAsia="lv-LV"/>
              </w:rPr>
              <w:t xml:space="preserve">uvei finanšu pakalpojumiem </w:t>
            </w:r>
            <w:r w:rsidR="00C2508B" w:rsidRPr="00473F49">
              <w:rPr>
                <w:rFonts w:ascii="Times New Roman" w:eastAsia="Times New Roman" w:hAnsi="Times New Roman" w:cs="Times New Roman"/>
                <w:iCs/>
                <w:sz w:val="24"/>
                <w:szCs w:val="24"/>
                <w:lang w:eastAsia="lv-LV"/>
              </w:rPr>
              <w:t>iekšējā tirg</w:t>
            </w:r>
            <w:r w:rsidR="00F10C77" w:rsidRPr="00473F49">
              <w:rPr>
                <w:rFonts w:ascii="Times New Roman" w:eastAsia="Times New Roman" w:hAnsi="Times New Roman" w:cs="Times New Roman"/>
                <w:iCs/>
                <w:sz w:val="24"/>
                <w:szCs w:val="24"/>
                <w:lang w:eastAsia="lv-LV"/>
              </w:rPr>
              <w:t>ū,</w:t>
            </w:r>
            <w:r w:rsidR="00C2508B" w:rsidRPr="00473F49">
              <w:rPr>
                <w:rFonts w:ascii="Times New Roman" w:eastAsia="Times New Roman" w:hAnsi="Times New Roman" w:cs="Times New Roman"/>
                <w:iCs/>
                <w:sz w:val="24"/>
                <w:szCs w:val="24"/>
                <w:lang w:eastAsia="lv-LV"/>
              </w:rPr>
              <w:t xml:space="preserve"> </w:t>
            </w:r>
            <w:r w:rsidR="00F10C77" w:rsidRPr="00473F49">
              <w:rPr>
                <w:rFonts w:ascii="Times New Roman" w:eastAsia="Times New Roman" w:hAnsi="Times New Roman" w:cs="Times New Roman"/>
                <w:iCs/>
                <w:sz w:val="24"/>
                <w:szCs w:val="24"/>
                <w:lang w:eastAsia="lv-LV"/>
              </w:rPr>
              <w:t xml:space="preserve">kā arī tiešsaistes </w:t>
            </w:r>
            <w:r w:rsidR="00C2508B" w:rsidRPr="00473F49">
              <w:rPr>
                <w:rFonts w:ascii="Times New Roman" w:eastAsia="Times New Roman" w:hAnsi="Times New Roman" w:cs="Times New Roman"/>
                <w:iCs/>
                <w:sz w:val="24"/>
                <w:szCs w:val="24"/>
                <w:lang w:eastAsia="lv-LV"/>
              </w:rPr>
              <w:t>piedāvātajiem</w:t>
            </w:r>
            <w:r w:rsidR="00F10C77" w:rsidRPr="00473F49">
              <w:rPr>
                <w:rFonts w:ascii="Times New Roman" w:eastAsia="Times New Roman" w:hAnsi="Times New Roman" w:cs="Times New Roman"/>
                <w:iCs/>
                <w:sz w:val="24"/>
                <w:szCs w:val="24"/>
                <w:lang w:eastAsia="lv-LV"/>
              </w:rPr>
              <w:t xml:space="preserve"> </w:t>
            </w:r>
            <w:r w:rsidR="00C2508B" w:rsidRPr="00473F49">
              <w:rPr>
                <w:rFonts w:ascii="Times New Roman" w:eastAsia="Times New Roman" w:hAnsi="Times New Roman" w:cs="Times New Roman"/>
                <w:iCs/>
                <w:sz w:val="24"/>
                <w:szCs w:val="24"/>
                <w:lang w:eastAsia="lv-LV"/>
              </w:rPr>
              <w:t>pakalpojumiem</w:t>
            </w:r>
            <w:r w:rsidR="00F10C77" w:rsidRPr="00473F49">
              <w:rPr>
                <w:rFonts w:ascii="Times New Roman" w:eastAsia="Times New Roman" w:hAnsi="Times New Roman" w:cs="Times New Roman"/>
                <w:iCs/>
                <w:sz w:val="24"/>
                <w:szCs w:val="24"/>
                <w:lang w:eastAsia="lv-LV"/>
              </w:rPr>
              <w:t xml:space="preserve"> </w:t>
            </w:r>
            <w:proofErr w:type="spellStart"/>
            <w:r w:rsidR="00C2508B" w:rsidRPr="00473F49">
              <w:rPr>
                <w:rFonts w:ascii="Times New Roman" w:eastAsia="Times New Roman" w:hAnsi="Times New Roman" w:cs="Times New Roman"/>
                <w:iCs/>
                <w:sz w:val="24"/>
                <w:szCs w:val="24"/>
                <w:lang w:eastAsia="lv-LV"/>
              </w:rPr>
              <w:t>pārrobež</w:t>
            </w:r>
            <w:r w:rsidR="00F10C77" w:rsidRPr="00473F49">
              <w:rPr>
                <w:rFonts w:ascii="Times New Roman" w:eastAsia="Times New Roman" w:hAnsi="Times New Roman" w:cs="Times New Roman"/>
                <w:iCs/>
                <w:sz w:val="24"/>
                <w:szCs w:val="24"/>
                <w:lang w:eastAsia="lv-LV"/>
              </w:rPr>
              <w:t>ā</w:t>
            </w:r>
            <w:proofErr w:type="spellEnd"/>
            <w:r w:rsidR="00F10C77" w:rsidRPr="00473F49">
              <w:rPr>
                <w:rFonts w:ascii="Times New Roman" w:eastAsia="Times New Roman" w:hAnsi="Times New Roman" w:cs="Times New Roman"/>
                <w:iCs/>
                <w:sz w:val="24"/>
                <w:szCs w:val="24"/>
                <w:lang w:eastAsia="lv-LV"/>
              </w:rPr>
              <w:t xml:space="preserve">. </w:t>
            </w:r>
            <w:r w:rsidR="00561DF1" w:rsidRPr="00473F49">
              <w:rPr>
                <w:rFonts w:ascii="Times New Roman" w:eastAsia="Times New Roman" w:hAnsi="Times New Roman" w:cs="Times New Roman"/>
                <w:iCs/>
                <w:sz w:val="24"/>
                <w:szCs w:val="24"/>
                <w:lang w:eastAsia="lv-LV"/>
              </w:rPr>
              <w:t xml:space="preserve">MK noteikumu projekts ir izstrādāts kā alternatīvs variants klienta </w:t>
            </w:r>
            <w:r w:rsidR="009776DC">
              <w:rPr>
                <w:rFonts w:ascii="Times New Roman" w:eastAsia="Times New Roman" w:hAnsi="Times New Roman" w:cs="Times New Roman"/>
                <w:iCs/>
                <w:sz w:val="24"/>
                <w:szCs w:val="24"/>
                <w:lang w:eastAsia="lv-LV"/>
              </w:rPr>
              <w:t xml:space="preserve">klātienes </w:t>
            </w:r>
            <w:r w:rsidR="00F10C77" w:rsidRPr="00473F49">
              <w:rPr>
                <w:rFonts w:ascii="Times New Roman" w:eastAsia="Times New Roman" w:hAnsi="Times New Roman" w:cs="Times New Roman"/>
                <w:iCs/>
                <w:sz w:val="24"/>
                <w:szCs w:val="24"/>
                <w:lang w:eastAsia="lv-LV"/>
              </w:rPr>
              <w:t xml:space="preserve">identifikācijai, klientam </w:t>
            </w:r>
            <w:r w:rsidR="00561DF1" w:rsidRPr="00473F49">
              <w:rPr>
                <w:rFonts w:ascii="Times New Roman" w:eastAsia="Times New Roman" w:hAnsi="Times New Roman" w:cs="Times New Roman"/>
                <w:iCs/>
                <w:sz w:val="24"/>
                <w:szCs w:val="24"/>
                <w:lang w:eastAsia="lv-LV"/>
              </w:rPr>
              <w:t xml:space="preserve">personīgi piedaloties </w:t>
            </w:r>
            <w:r w:rsidR="00F10C77" w:rsidRPr="00473F49">
              <w:rPr>
                <w:rFonts w:ascii="Times New Roman" w:eastAsia="Times New Roman" w:hAnsi="Times New Roman" w:cs="Times New Roman"/>
                <w:iCs/>
                <w:sz w:val="24"/>
                <w:szCs w:val="24"/>
                <w:lang w:eastAsia="lv-LV"/>
              </w:rPr>
              <w:t>tā</w:t>
            </w:r>
            <w:r w:rsidR="00561DF1" w:rsidRPr="00473F49">
              <w:rPr>
                <w:rFonts w:ascii="Times New Roman" w:eastAsia="Times New Roman" w:hAnsi="Times New Roman" w:cs="Times New Roman"/>
                <w:iCs/>
                <w:sz w:val="24"/>
                <w:szCs w:val="24"/>
                <w:lang w:eastAsia="lv-LV"/>
              </w:rPr>
              <w:t xml:space="preserve"> identifikācijas procesā.</w:t>
            </w:r>
          </w:p>
          <w:p w:rsidR="00D17931" w:rsidRPr="00473F49" w:rsidRDefault="00D17931" w:rsidP="00561DF1">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MK noteikumu projekts stā</w:t>
            </w:r>
            <w:r w:rsidR="00BF494F">
              <w:rPr>
                <w:rFonts w:ascii="Times New Roman" w:eastAsia="Times New Roman" w:hAnsi="Times New Roman" w:cs="Times New Roman"/>
                <w:iCs/>
                <w:sz w:val="24"/>
                <w:szCs w:val="24"/>
                <w:lang w:eastAsia="lv-LV"/>
              </w:rPr>
              <w:t>sies</w:t>
            </w:r>
            <w:r w:rsidRPr="00473F49">
              <w:rPr>
                <w:rFonts w:ascii="Times New Roman" w:eastAsia="Times New Roman" w:hAnsi="Times New Roman" w:cs="Times New Roman"/>
                <w:iCs/>
                <w:sz w:val="24"/>
                <w:szCs w:val="24"/>
                <w:lang w:eastAsia="lv-LV"/>
              </w:rPr>
              <w:t xml:space="preserve"> spēkā 2018.gada 1.jūlijā.</w:t>
            </w:r>
          </w:p>
        </w:tc>
      </w:tr>
    </w:tbl>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960A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960A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473F49">
              <w:rPr>
                <w:rFonts w:ascii="Times New Roman" w:eastAsia="Times New Roman" w:hAnsi="Times New Roman" w:cs="Times New Roman"/>
                <w:b/>
                <w:bCs/>
                <w:iCs/>
                <w:sz w:val="24"/>
                <w:szCs w:val="24"/>
                <w:lang w:eastAsia="lv-LV"/>
              </w:rPr>
              <w:t>I. Tiesību akta projekta izstrādes nepieciešamība</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960A2" w:rsidRDefault="00EC43B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3F49">
              <w:rPr>
                <w:rFonts w:ascii="Times New Roman" w:eastAsia="Times New Roman" w:hAnsi="Times New Roman" w:cs="Times New Roman"/>
                <w:iCs/>
                <w:sz w:val="24"/>
                <w:szCs w:val="24"/>
                <w:lang w:eastAsia="lv-LV"/>
              </w:rPr>
              <w:t xml:space="preserve">Ievērojot </w:t>
            </w:r>
            <w:r w:rsidR="008E48B5" w:rsidRPr="00473F49">
              <w:rPr>
                <w:rFonts w:ascii="Times New Roman" w:eastAsia="Times New Roman" w:hAnsi="Times New Roman" w:cs="Times New Roman"/>
                <w:iCs/>
                <w:sz w:val="24"/>
                <w:szCs w:val="24"/>
                <w:lang w:eastAsia="lv-LV"/>
              </w:rPr>
              <w:t>NILLTFNL</w:t>
            </w:r>
            <w:r w:rsidRPr="00473F49">
              <w:rPr>
                <w:rFonts w:ascii="Times New Roman" w:eastAsia="Times New Roman" w:hAnsi="Times New Roman" w:cs="Times New Roman"/>
                <w:iCs/>
                <w:sz w:val="24"/>
                <w:szCs w:val="24"/>
                <w:lang w:eastAsia="lv-LV"/>
              </w:rPr>
              <w:t xml:space="preserve"> 22.panta </w:t>
            </w:r>
            <w:r w:rsidR="0029635F">
              <w:rPr>
                <w:rFonts w:ascii="Times New Roman" w:eastAsia="Times New Roman" w:hAnsi="Times New Roman" w:cs="Times New Roman"/>
                <w:iCs/>
                <w:sz w:val="24"/>
                <w:szCs w:val="24"/>
                <w:lang w:eastAsia="lv-LV"/>
              </w:rPr>
              <w:t>trešo daļu</w:t>
            </w:r>
            <w:r w:rsidR="00F10C77" w:rsidRPr="00473F49">
              <w:rPr>
                <w:rFonts w:ascii="Times New Roman" w:eastAsia="Times New Roman" w:hAnsi="Times New Roman" w:cs="Times New Roman"/>
                <w:iCs/>
                <w:sz w:val="24"/>
                <w:szCs w:val="24"/>
                <w:lang w:eastAsia="lv-LV"/>
              </w:rPr>
              <w:t>,</w:t>
            </w:r>
            <w:r w:rsidRPr="00473F49">
              <w:rPr>
                <w:rFonts w:ascii="Times New Roman" w:eastAsia="Times New Roman" w:hAnsi="Times New Roman" w:cs="Times New Roman"/>
                <w:iCs/>
                <w:sz w:val="24"/>
                <w:szCs w:val="24"/>
                <w:lang w:eastAsia="lv-LV"/>
              </w:rPr>
              <w:t xml:space="preserve"> ir izstrādāt</w:t>
            </w:r>
            <w:r w:rsidR="00F10C77" w:rsidRPr="00473F49">
              <w:rPr>
                <w:rFonts w:ascii="Times New Roman" w:eastAsia="Times New Roman" w:hAnsi="Times New Roman" w:cs="Times New Roman"/>
                <w:iCs/>
                <w:sz w:val="24"/>
                <w:szCs w:val="24"/>
                <w:lang w:eastAsia="lv-LV"/>
              </w:rPr>
              <w:t>s</w:t>
            </w:r>
            <w:r w:rsidRPr="00473F49">
              <w:rPr>
                <w:rFonts w:ascii="Times New Roman" w:eastAsia="Times New Roman" w:hAnsi="Times New Roman" w:cs="Times New Roman"/>
                <w:iCs/>
                <w:sz w:val="24"/>
                <w:szCs w:val="24"/>
                <w:lang w:eastAsia="lv-LV"/>
              </w:rPr>
              <w:t xml:space="preserve"> </w:t>
            </w:r>
            <w:r w:rsidR="008E48B5" w:rsidRPr="00473F49">
              <w:rPr>
                <w:rFonts w:ascii="Times New Roman" w:eastAsia="Times New Roman" w:hAnsi="Times New Roman" w:cs="Times New Roman"/>
                <w:iCs/>
                <w:sz w:val="24"/>
                <w:szCs w:val="24"/>
                <w:lang w:eastAsia="lv-LV"/>
              </w:rPr>
              <w:t xml:space="preserve">MK noteikumu </w:t>
            </w:r>
            <w:r w:rsidR="00C2508B" w:rsidRPr="00473F49">
              <w:rPr>
                <w:rFonts w:ascii="Times New Roman" w:eastAsia="Times New Roman" w:hAnsi="Times New Roman" w:cs="Times New Roman"/>
                <w:iCs/>
                <w:sz w:val="24"/>
                <w:szCs w:val="24"/>
                <w:lang w:eastAsia="lv-LV"/>
              </w:rPr>
              <w:t>projekts</w:t>
            </w:r>
            <w:r w:rsidR="008E48B5" w:rsidRPr="00473F49">
              <w:rPr>
                <w:rFonts w:ascii="Times New Roman" w:eastAsia="Times New Roman" w:hAnsi="Times New Roman" w:cs="Times New Roman"/>
                <w:iCs/>
                <w:sz w:val="24"/>
                <w:szCs w:val="24"/>
                <w:lang w:eastAsia="lv-LV"/>
              </w:rPr>
              <w:t>.</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473F4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B71D4A" w:rsidRPr="00473F49" w:rsidRDefault="008960A2" w:rsidP="00D42F7F">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Attīstoties </w:t>
            </w:r>
            <w:r w:rsidR="00D42F7F" w:rsidRPr="00473F49">
              <w:rPr>
                <w:rFonts w:ascii="Times New Roman" w:eastAsia="Times New Roman" w:hAnsi="Times New Roman" w:cs="Times New Roman"/>
                <w:iCs/>
                <w:sz w:val="24"/>
                <w:szCs w:val="24"/>
                <w:lang w:eastAsia="lv-LV"/>
              </w:rPr>
              <w:t>tehnoloģijas iespējām</w:t>
            </w:r>
            <w:r w:rsidR="00F10C77" w:rsidRPr="00473F49">
              <w:rPr>
                <w:rFonts w:ascii="Times New Roman" w:eastAsia="Times New Roman" w:hAnsi="Times New Roman" w:cs="Times New Roman"/>
                <w:iCs/>
                <w:sz w:val="24"/>
                <w:szCs w:val="24"/>
                <w:lang w:eastAsia="lv-LV"/>
              </w:rPr>
              <w:t>,</w:t>
            </w:r>
            <w:r w:rsidRPr="00473F49">
              <w:rPr>
                <w:rFonts w:ascii="Times New Roman" w:eastAsia="Times New Roman" w:hAnsi="Times New Roman" w:cs="Times New Roman"/>
                <w:iCs/>
                <w:sz w:val="24"/>
                <w:szCs w:val="24"/>
                <w:lang w:eastAsia="lv-LV"/>
              </w:rPr>
              <w:t xml:space="preserve"> ir būtiski veicināt uzticēšanos tiešsaistes videi, tas ir viens no svarīgākajiem ekonomiskās un sociālās izaugsmes faktoriem. Mijiedarbība starp klientiem, pakalpojuma sniedzējiem ir būtiskākais faktors darījumu vidē. </w:t>
            </w:r>
            <w:r w:rsidR="00043AD1" w:rsidRPr="00473F49">
              <w:rPr>
                <w:rFonts w:ascii="Times New Roman" w:eastAsia="Times New Roman" w:hAnsi="Times New Roman" w:cs="Times New Roman"/>
                <w:iCs/>
                <w:sz w:val="24"/>
                <w:szCs w:val="24"/>
                <w:lang w:eastAsia="lv-LV"/>
              </w:rPr>
              <w:t xml:space="preserve">Pakalpojumu sniegšanas darbība un tā veikšana attālināti un elektroniskā vidē </w:t>
            </w:r>
            <w:r w:rsidR="005A4417" w:rsidRPr="00473F49">
              <w:rPr>
                <w:rFonts w:ascii="Times New Roman" w:eastAsia="Times New Roman" w:hAnsi="Times New Roman" w:cs="Times New Roman"/>
                <w:iCs/>
                <w:sz w:val="24"/>
                <w:szCs w:val="24"/>
                <w:lang w:eastAsia="lv-LV"/>
              </w:rPr>
              <w:t>ir</w:t>
            </w:r>
            <w:r w:rsidR="00043AD1" w:rsidRPr="00473F49">
              <w:rPr>
                <w:rFonts w:ascii="Times New Roman" w:eastAsia="Times New Roman" w:hAnsi="Times New Roman" w:cs="Times New Roman"/>
                <w:iCs/>
                <w:sz w:val="24"/>
                <w:szCs w:val="24"/>
                <w:lang w:eastAsia="lv-LV"/>
              </w:rPr>
              <w:t xml:space="preserve"> viens no instrumentiem</w:t>
            </w:r>
            <w:r w:rsidR="00F10C77" w:rsidRPr="00473F49">
              <w:rPr>
                <w:rFonts w:ascii="Times New Roman" w:eastAsia="Times New Roman" w:hAnsi="Times New Roman" w:cs="Times New Roman"/>
                <w:iCs/>
                <w:sz w:val="24"/>
                <w:szCs w:val="24"/>
                <w:lang w:eastAsia="lv-LV"/>
              </w:rPr>
              <w:t>,</w:t>
            </w:r>
            <w:r w:rsidR="00043AD1" w:rsidRPr="00473F49">
              <w:rPr>
                <w:rFonts w:ascii="Times New Roman" w:eastAsia="Times New Roman" w:hAnsi="Times New Roman" w:cs="Times New Roman"/>
                <w:iCs/>
                <w:sz w:val="24"/>
                <w:szCs w:val="24"/>
                <w:lang w:eastAsia="lv-LV"/>
              </w:rPr>
              <w:t xml:space="preserve"> ar kura palīdzību varētu tikt atvieglota </w:t>
            </w:r>
            <w:r w:rsidR="00E73D87" w:rsidRPr="00473F49">
              <w:rPr>
                <w:rFonts w:ascii="Times New Roman" w:eastAsia="Times New Roman" w:hAnsi="Times New Roman" w:cs="Times New Roman"/>
                <w:iCs/>
                <w:sz w:val="24"/>
                <w:szCs w:val="24"/>
                <w:lang w:eastAsia="lv-LV"/>
              </w:rPr>
              <w:t xml:space="preserve">daudzu pakalpojumu sniegšana </w:t>
            </w:r>
            <w:proofErr w:type="spellStart"/>
            <w:r w:rsidR="00F10C77" w:rsidRPr="00473F49">
              <w:rPr>
                <w:rFonts w:ascii="Times New Roman" w:eastAsia="Times New Roman" w:hAnsi="Times New Roman" w:cs="Times New Roman"/>
                <w:iCs/>
                <w:sz w:val="24"/>
                <w:szCs w:val="24"/>
                <w:lang w:eastAsia="lv-LV"/>
              </w:rPr>
              <w:t>pārrobežā</w:t>
            </w:r>
            <w:proofErr w:type="spellEnd"/>
            <w:r w:rsidR="00F10C77" w:rsidRPr="00473F49">
              <w:rPr>
                <w:rFonts w:ascii="Times New Roman" w:eastAsia="Times New Roman" w:hAnsi="Times New Roman" w:cs="Times New Roman"/>
                <w:iCs/>
                <w:sz w:val="24"/>
                <w:szCs w:val="24"/>
                <w:lang w:eastAsia="lv-LV"/>
              </w:rPr>
              <w:t xml:space="preserve">, kā arī Latvijas </w:t>
            </w:r>
            <w:r w:rsidR="00E73D87" w:rsidRPr="00473F49">
              <w:rPr>
                <w:rFonts w:ascii="Times New Roman" w:eastAsia="Times New Roman" w:hAnsi="Times New Roman" w:cs="Times New Roman"/>
                <w:iCs/>
                <w:sz w:val="24"/>
                <w:szCs w:val="24"/>
                <w:lang w:eastAsia="lv-LV"/>
              </w:rPr>
              <w:t>iekšējā tirg</w:t>
            </w:r>
            <w:r w:rsidR="005A4417" w:rsidRPr="00473F49">
              <w:rPr>
                <w:rFonts w:ascii="Times New Roman" w:eastAsia="Times New Roman" w:hAnsi="Times New Roman" w:cs="Times New Roman"/>
                <w:iCs/>
                <w:sz w:val="24"/>
                <w:szCs w:val="24"/>
                <w:lang w:eastAsia="lv-LV"/>
              </w:rPr>
              <w:t>ū.</w:t>
            </w:r>
            <w:r w:rsidR="00E73D87" w:rsidRPr="00473F49">
              <w:rPr>
                <w:rFonts w:ascii="Times New Roman" w:eastAsia="Times New Roman" w:hAnsi="Times New Roman" w:cs="Times New Roman"/>
                <w:iCs/>
                <w:sz w:val="24"/>
                <w:szCs w:val="24"/>
                <w:lang w:eastAsia="lv-LV"/>
              </w:rPr>
              <w:t xml:space="preserve"> </w:t>
            </w:r>
          </w:p>
          <w:p w:rsidR="00B71D4A" w:rsidRPr="00473F49" w:rsidRDefault="00B71D4A" w:rsidP="00B71D4A">
            <w:pPr>
              <w:pStyle w:val="ListParagraph"/>
              <w:numPr>
                <w:ilvl w:val="1"/>
                <w:numId w:val="1"/>
              </w:numPr>
              <w:tabs>
                <w:tab w:val="left" w:pos="10348"/>
              </w:tabs>
              <w:spacing w:after="0" w:line="276" w:lineRule="auto"/>
              <w:ind w:left="0"/>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MK noteikumu projekta izstrāde sasaucas ar E</w:t>
            </w:r>
            <w:r w:rsidR="00507EB6">
              <w:rPr>
                <w:rFonts w:ascii="Times New Roman" w:eastAsia="Times New Roman" w:hAnsi="Times New Roman" w:cs="Times New Roman"/>
                <w:iCs/>
                <w:sz w:val="24"/>
                <w:szCs w:val="24"/>
                <w:lang w:eastAsia="lv-LV"/>
              </w:rPr>
              <w:t xml:space="preserve">iropas </w:t>
            </w:r>
            <w:r w:rsidRPr="00473F49">
              <w:rPr>
                <w:rFonts w:ascii="Times New Roman" w:eastAsia="Times New Roman" w:hAnsi="Times New Roman" w:cs="Times New Roman"/>
                <w:iCs/>
                <w:sz w:val="24"/>
                <w:szCs w:val="24"/>
                <w:lang w:eastAsia="lv-LV"/>
              </w:rPr>
              <w:t>S</w:t>
            </w:r>
            <w:r w:rsidR="00507EB6">
              <w:rPr>
                <w:rFonts w:ascii="Times New Roman" w:eastAsia="Times New Roman" w:hAnsi="Times New Roman" w:cs="Times New Roman"/>
                <w:iCs/>
                <w:sz w:val="24"/>
                <w:szCs w:val="24"/>
                <w:lang w:eastAsia="lv-LV"/>
              </w:rPr>
              <w:t>avienības (turpmāk - ES)</w:t>
            </w:r>
            <w:r w:rsidRPr="00473F49">
              <w:rPr>
                <w:rFonts w:ascii="Times New Roman" w:eastAsia="Times New Roman" w:hAnsi="Times New Roman" w:cs="Times New Roman"/>
                <w:iCs/>
                <w:sz w:val="24"/>
                <w:szCs w:val="24"/>
                <w:lang w:eastAsia="lv-LV"/>
              </w:rPr>
              <w:t xml:space="preserve"> pastāvošajām finanšu tirgus attīstības prioritātēm. Eiropas Komisijas prioritāte, cit</w:t>
            </w:r>
            <w:r w:rsidR="00F10C77" w:rsidRPr="00473F49">
              <w:rPr>
                <w:rFonts w:ascii="Times New Roman" w:eastAsia="Times New Roman" w:hAnsi="Times New Roman" w:cs="Times New Roman"/>
                <w:iCs/>
                <w:sz w:val="24"/>
                <w:szCs w:val="24"/>
                <w:lang w:eastAsia="lv-LV"/>
              </w:rPr>
              <w:t>a</w:t>
            </w:r>
            <w:r w:rsidRPr="00473F49">
              <w:rPr>
                <w:rFonts w:ascii="Times New Roman" w:eastAsia="Times New Roman" w:hAnsi="Times New Roman" w:cs="Times New Roman"/>
                <w:iCs/>
                <w:sz w:val="24"/>
                <w:szCs w:val="24"/>
                <w:lang w:eastAsia="lv-LV"/>
              </w:rPr>
              <w:t xml:space="preserve"> starpā, ir vienota digitālā tirgus izveide ES</w:t>
            </w:r>
            <w:r w:rsidRPr="00473F49">
              <w:rPr>
                <w:rFonts w:ascii="Times New Roman" w:eastAsia="Times New Roman" w:hAnsi="Times New Roman" w:cs="Times New Roman"/>
                <w:iCs/>
                <w:sz w:val="24"/>
                <w:szCs w:val="24"/>
                <w:vertAlign w:val="superscript"/>
                <w:lang w:eastAsia="lv-LV"/>
              </w:rPr>
              <w:footnoteReference w:id="1"/>
            </w:r>
            <w:r w:rsidRPr="00473F49">
              <w:rPr>
                <w:rFonts w:ascii="Times New Roman" w:eastAsia="Times New Roman" w:hAnsi="Times New Roman" w:cs="Times New Roman"/>
                <w:iCs/>
                <w:sz w:val="24"/>
                <w:szCs w:val="24"/>
                <w:lang w:eastAsia="lv-LV"/>
              </w:rPr>
              <w:t xml:space="preserve"> un atbilstoši 2015. gada 6. maija ziņojumam par digitālā </w:t>
            </w:r>
            <w:r w:rsidRPr="00473F49">
              <w:rPr>
                <w:rFonts w:ascii="Times New Roman" w:eastAsia="Times New Roman" w:hAnsi="Times New Roman" w:cs="Times New Roman"/>
                <w:iCs/>
                <w:sz w:val="24"/>
                <w:szCs w:val="24"/>
                <w:lang w:eastAsia="lv-LV"/>
              </w:rPr>
              <w:lastRenderedPageBreak/>
              <w:t>vienotā tirgus stratēģiju Eiropai</w:t>
            </w:r>
            <w:r w:rsidRPr="00473F49">
              <w:rPr>
                <w:rFonts w:ascii="Times New Roman" w:eastAsia="Times New Roman" w:hAnsi="Times New Roman" w:cs="Times New Roman"/>
                <w:iCs/>
                <w:sz w:val="24"/>
                <w:szCs w:val="24"/>
                <w:vertAlign w:val="superscript"/>
                <w:lang w:eastAsia="lv-LV"/>
              </w:rPr>
              <w:footnoteReference w:id="2"/>
            </w:r>
            <w:r w:rsidR="007B7211" w:rsidRPr="00473F49">
              <w:rPr>
                <w:rFonts w:ascii="Times New Roman" w:eastAsia="Times New Roman" w:hAnsi="Times New Roman" w:cs="Times New Roman"/>
                <w:iCs/>
                <w:sz w:val="24"/>
                <w:szCs w:val="24"/>
                <w:lang w:eastAsia="lv-LV"/>
              </w:rPr>
              <w:t>,</w:t>
            </w:r>
            <w:r w:rsidRPr="00473F49">
              <w:rPr>
                <w:rFonts w:ascii="Times New Roman" w:eastAsia="Times New Roman" w:hAnsi="Times New Roman" w:cs="Times New Roman"/>
                <w:iCs/>
                <w:sz w:val="24"/>
                <w:szCs w:val="24"/>
                <w:lang w:eastAsia="lv-LV"/>
              </w:rPr>
              <w:t xml:space="preserve"> viens no </w:t>
            </w:r>
            <w:r w:rsidR="007B7211" w:rsidRPr="00473F49">
              <w:rPr>
                <w:rFonts w:ascii="Times New Roman" w:eastAsia="Times New Roman" w:hAnsi="Times New Roman" w:cs="Times New Roman"/>
                <w:iCs/>
                <w:sz w:val="24"/>
                <w:szCs w:val="24"/>
                <w:lang w:eastAsia="lv-LV"/>
              </w:rPr>
              <w:t xml:space="preserve">Eiropas </w:t>
            </w:r>
            <w:r w:rsidRPr="00473F49">
              <w:rPr>
                <w:rFonts w:ascii="Times New Roman" w:eastAsia="Times New Roman" w:hAnsi="Times New Roman" w:cs="Times New Roman"/>
                <w:iCs/>
                <w:sz w:val="24"/>
                <w:szCs w:val="24"/>
                <w:lang w:eastAsia="lv-LV"/>
              </w:rPr>
              <w:t>Komisijas mērķiem ir piemērotu apstākļu radīšana digitālo tīklu un pakalpojumu attīstībai. Minētajam ir nepieciešama ātrdarbīga, droša un uzticama infrastruktūra un satura pakalpojumi, kuru pamatā ir atbilstoši normatīvie apstākļi inovāciju, investīciju, godīgas konkurences jomā</w:t>
            </w:r>
            <w:r w:rsidR="00F10C77" w:rsidRPr="00473F49">
              <w:rPr>
                <w:rFonts w:ascii="Times New Roman" w:eastAsia="Times New Roman" w:hAnsi="Times New Roman" w:cs="Times New Roman"/>
                <w:iCs/>
                <w:sz w:val="24"/>
                <w:szCs w:val="24"/>
                <w:lang w:eastAsia="lv-LV"/>
              </w:rPr>
              <w:t>,</w:t>
            </w:r>
            <w:r w:rsidRPr="00473F49">
              <w:rPr>
                <w:rFonts w:ascii="Times New Roman" w:eastAsia="Times New Roman" w:hAnsi="Times New Roman" w:cs="Times New Roman"/>
                <w:iCs/>
                <w:sz w:val="24"/>
                <w:szCs w:val="24"/>
                <w:lang w:eastAsia="lv-LV"/>
              </w:rPr>
              <w:t xml:space="preserve"> un līdzvērtīgi konkurences apstākļi. Iepriekšminēto mērķu sasniegšana ir iespējama vienīgi ieviešot normatīvo regulējumu, kas veicina jaunu un inovatīvu tehnisko risinājumu radīšanu, lai padarītu pēc iespējas efektīvāku esošo biznesu un dotu iespēju izveidot jaunus produktus un uzņēmumus. </w:t>
            </w:r>
          </w:p>
          <w:p w:rsidR="007B7211" w:rsidRPr="00473F49" w:rsidRDefault="00F10C77" w:rsidP="007B7211">
            <w:pPr>
              <w:pStyle w:val="ListParagraph"/>
              <w:numPr>
                <w:ilvl w:val="1"/>
                <w:numId w:val="1"/>
              </w:numPr>
              <w:spacing w:after="0" w:line="276" w:lineRule="auto"/>
              <w:ind w:left="0"/>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Eiropas līmeņa uzraudzības iestāžu (turpmāk- </w:t>
            </w:r>
            <w:proofErr w:type="spellStart"/>
            <w:r w:rsidRPr="00473F49">
              <w:rPr>
                <w:rFonts w:ascii="Times New Roman" w:eastAsia="Times New Roman" w:hAnsi="Times New Roman" w:cs="Times New Roman"/>
                <w:iCs/>
                <w:sz w:val="24"/>
                <w:szCs w:val="24"/>
                <w:lang w:eastAsia="lv-LV"/>
              </w:rPr>
              <w:t>ESAs</w:t>
            </w:r>
            <w:proofErr w:type="spellEnd"/>
            <w:r w:rsidRPr="00473F49">
              <w:rPr>
                <w:rFonts w:ascii="Times New Roman" w:eastAsia="Times New Roman" w:hAnsi="Times New Roman" w:cs="Times New Roman"/>
                <w:iCs/>
                <w:sz w:val="24"/>
                <w:szCs w:val="24"/>
                <w:lang w:eastAsia="lv-LV"/>
              </w:rPr>
              <w:t>) apvienotā komiteja</w:t>
            </w:r>
            <w:r w:rsidR="007B7211" w:rsidRPr="00473F49">
              <w:rPr>
                <w:rFonts w:ascii="Times New Roman" w:eastAsia="Times New Roman" w:hAnsi="Times New Roman" w:cs="Times New Roman"/>
                <w:iCs/>
                <w:sz w:val="24"/>
                <w:szCs w:val="24"/>
                <w:lang w:eastAsia="lv-LV"/>
              </w:rPr>
              <w:t xml:space="preserve"> 2018. gada janvārī ir publicējusi viedokli par inovatīvu risinājumu izmantošanu klientu izpētē.</w:t>
            </w:r>
            <w:r w:rsidR="007B7211" w:rsidRPr="00473F49">
              <w:rPr>
                <w:rFonts w:ascii="Times New Roman" w:eastAsia="Times New Roman" w:hAnsi="Times New Roman" w:cs="Times New Roman"/>
                <w:iCs/>
                <w:sz w:val="24"/>
                <w:szCs w:val="24"/>
                <w:vertAlign w:val="superscript"/>
                <w:lang w:eastAsia="lv-LV"/>
              </w:rPr>
              <w:footnoteReference w:id="3"/>
            </w:r>
            <w:r w:rsidR="007B7211" w:rsidRPr="00473F49">
              <w:rPr>
                <w:rFonts w:ascii="Times New Roman" w:eastAsia="Times New Roman" w:hAnsi="Times New Roman" w:cs="Times New Roman"/>
                <w:iCs/>
                <w:sz w:val="24"/>
                <w:szCs w:val="24"/>
                <w:lang w:eastAsia="lv-LV"/>
              </w:rPr>
              <w:t xml:space="preserve"> No </w:t>
            </w:r>
            <w:r w:rsidR="00634EAD" w:rsidRPr="00473F49">
              <w:rPr>
                <w:rFonts w:ascii="Times New Roman" w:eastAsia="Times New Roman" w:hAnsi="Times New Roman" w:cs="Times New Roman"/>
                <w:iCs/>
                <w:sz w:val="24"/>
                <w:szCs w:val="24"/>
                <w:lang w:eastAsia="lv-LV"/>
              </w:rPr>
              <w:t>NILLTFN</w:t>
            </w:r>
            <w:r w:rsidR="00507EB6">
              <w:rPr>
                <w:rFonts w:ascii="Times New Roman" w:eastAsia="Times New Roman" w:hAnsi="Times New Roman" w:cs="Times New Roman"/>
                <w:iCs/>
                <w:sz w:val="24"/>
                <w:szCs w:val="24"/>
                <w:lang w:eastAsia="lv-LV"/>
              </w:rPr>
              <w:t>L</w:t>
            </w:r>
            <w:r w:rsidR="00634EAD" w:rsidRPr="00473F49">
              <w:rPr>
                <w:rFonts w:ascii="Times New Roman" w:eastAsia="Times New Roman" w:hAnsi="Times New Roman" w:cs="Times New Roman"/>
                <w:iCs/>
                <w:sz w:val="24"/>
                <w:szCs w:val="24"/>
                <w:lang w:eastAsia="lv-LV"/>
              </w:rPr>
              <w:t xml:space="preserve"> </w:t>
            </w:r>
            <w:r w:rsidR="00507EB6" w:rsidRPr="00473F49">
              <w:rPr>
                <w:rFonts w:ascii="Times New Roman" w:eastAsia="Times New Roman" w:hAnsi="Times New Roman" w:cs="Times New Roman"/>
                <w:iCs/>
                <w:sz w:val="24"/>
                <w:szCs w:val="24"/>
                <w:lang w:eastAsia="lv-LV"/>
              </w:rPr>
              <w:t>subjekt</w:t>
            </w:r>
            <w:r w:rsidR="00507EB6">
              <w:rPr>
                <w:rFonts w:ascii="Times New Roman" w:eastAsia="Times New Roman" w:hAnsi="Times New Roman" w:cs="Times New Roman"/>
                <w:iCs/>
                <w:sz w:val="24"/>
                <w:szCs w:val="24"/>
                <w:lang w:eastAsia="lv-LV"/>
              </w:rPr>
              <w:t>iem</w:t>
            </w:r>
            <w:r w:rsidR="00507EB6" w:rsidRPr="00473F49">
              <w:rPr>
                <w:rFonts w:ascii="Times New Roman" w:eastAsia="Times New Roman" w:hAnsi="Times New Roman" w:cs="Times New Roman"/>
                <w:iCs/>
                <w:sz w:val="24"/>
                <w:szCs w:val="24"/>
                <w:lang w:eastAsia="lv-LV"/>
              </w:rPr>
              <w:t xml:space="preserve"> </w:t>
            </w:r>
            <w:r w:rsidR="007B7211" w:rsidRPr="00473F49">
              <w:rPr>
                <w:rFonts w:ascii="Times New Roman" w:eastAsia="Times New Roman" w:hAnsi="Times New Roman" w:cs="Times New Roman"/>
                <w:iCs/>
                <w:sz w:val="24"/>
                <w:szCs w:val="24"/>
                <w:lang w:eastAsia="lv-LV"/>
              </w:rPr>
              <w:t xml:space="preserve">tiek sagaidīts, ka tie veiks </w:t>
            </w:r>
            <w:r w:rsidR="00634EAD" w:rsidRPr="00473F49">
              <w:rPr>
                <w:rFonts w:ascii="Times New Roman" w:eastAsia="Times New Roman" w:hAnsi="Times New Roman" w:cs="Times New Roman"/>
                <w:iCs/>
                <w:sz w:val="24"/>
                <w:szCs w:val="24"/>
                <w:lang w:eastAsia="lv-LV"/>
              </w:rPr>
              <w:t xml:space="preserve">noziedzīgi iegūtu līdzekļu legalizācijas un terorisma finansēšanas (turpmāk –NILLTF) </w:t>
            </w:r>
            <w:r w:rsidR="007B7211" w:rsidRPr="00473F49">
              <w:rPr>
                <w:rFonts w:ascii="Times New Roman" w:eastAsia="Times New Roman" w:hAnsi="Times New Roman" w:cs="Times New Roman"/>
                <w:iCs/>
                <w:sz w:val="24"/>
                <w:szCs w:val="24"/>
                <w:lang w:eastAsia="lv-LV"/>
              </w:rPr>
              <w:t xml:space="preserve">risku novērtējumu, kas saistīti ar neklātienes biznesa attiecībām, lai panāktu, ka ar inovatīvu risinājumu izmantošanu attiecīgie riski tiek vēl vairāk samazināti. </w:t>
            </w:r>
            <w:r w:rsidR="00507EB6">
              <w:rPr>
                <w:rFonts w:ascii="Times New Roman" w:eastAsia="Times New Roman" w:hAnsi="Times New Roman" w:cs="Times New Roman"/>
                <w:iCs/>
                <w:sz w:val="24"/>
                <w:szCs w:val="24"/>
                <w:lang w:eastAsia="lv-LV"/>
              </w:rPr>
              <w:t>NILLTFNL</w:t>
            </w:r>
            <w:r w:rsidR="00507EB6" w:rsidRPr="00473F49">
              <w:rPr>
                <w:rFonts w:ascii="Times New Roman" w:eastAsia="Times New Roman" w:hAnsi="Times New Roman" w:cs="Times New Roman"/>
                <w:iCs/>
                <w:sz w:val="24"/>
                <w:szCs w:val="24"/>
                <w:lang w:eastAsia="lv-LV"/>
              </w:rPr>
              <w:t xml:space="preserve"> </w:t>
            </w:r>
            <w:r w:rsidR="007B7211" w:rsidRPr="00473F49">
              <w:rPr>
                <w:rFonts w:ascii="Times New Roman" w:eastAsia="Times New Roman" w:hAnsi="Times New Roman" w:cs="Times New Roman"/>
                <w:iCs/>
                <w:sz w:val="24"/>
                <w:szCs w:val="24"/>
                <w:lang w:eastAsia="lv-LV"/>
              </w:rPr>
              <w:t>subjektiem, izstrādājot to iekšējās kontroles sistēmas</w:t>
            </w:r>
            <w:r w:rsidR="000F7190">
              <w:rPr>
                <w:rFonts w:ascii="Times New Roman" w:eastAsia="Times New Roman" w:hAnsi="Times New Roman" w:cs="Times New Roman"/>
                <w:iCs/>
                <w:sz w:val="24"/>
                <w:szCs w:val="24"/>
                <w:lang w:eastAsia="lv-LV"/>
              </w:rPr>
              <w:t xml:space="preserve"> (NILLTFNL II nodaļa) tai skaitā izstrādājot iekšējo politiku un procedūras (NILLTFNL 7.panta pirmās daļas 11.punkts)</w:t>
            </w:r>
            <w:r w:rsidR="007B7211" w:rsidRPr="00473F49">
              <w:rPr>
                <w:rFonts w:ascii="Times New Roman" w:eastAsia="Times New Roman" w:hAnsi="Times New Roman" w:cs="Times New Roman"/>
                <w:iCs/>
                <w:sz w:val="24"/>
                <w:szCs w:val="24"/>
                <w:lang w:eastAsia="lv-LV"/>
              </w:rPr>
              <w:t xml:space="preserve"> un neklātienes identifikācijas procesu, būtu jāmazina riski, kas izriet no diviem būtiskiem faktoriem:</w:t>
            </w:r>
          </w:p>
          <w:p w:rsidR="007B7211" w:rsidRPr="00473F49" w:rsidRDefault="00F10C77" w:rsidP="007B7211">
            <w:pPr>
              <w:pStyle w:val="ListParagraph"/>
              <w:numPr>
                <w:ilvl w:val="0"/>
                <w:numId w:val="2"/>
              </w:numPr>
              <w:spacing w:after="0" w:line="276" w:lineRule="auto"/>
              <w:ind w:left="360"/>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v</w:t>
            </w:r>
            <w:r w:rsidR="007B7211" w:rsidRPr="00473F49">
              <w:rPr>
                <w:rFonts w:ascii="Times New Roman" w:eastAsia="Times New Roman" w:hAnsi="Times New Roman" w:cs="Times New Roman"/>
                <w:iCs/>
                <w:sz w:val="24"/>
                <w:szCs w:val="24"/>
                <w:lang w:eastAsia="lv-LV"/>
              </w:rPr>
              <w:t>ai pastāv risks, ka potenciālie klienti, ar kuriem darījumu attiecības tiek nodibinātas, izmantojot inovatīvus klientu identifikācijas risinājumu, uzdodas par citām personām, vai izmanto citas personas datus vai identifikācijas dokumentus? No iestādēm (</w:t>
            </w:r>
            <w:r w:rsidR="007E74E4">
              <w:rPr>
                <w:rFonts w:ascii="Times New Roman" w:eastAsia="Times New Roman" w:hAnsi="Times New Roman" w:cs="Times New Roman"/>
                <w:iCs/>
                <w:sz w:val="24"/>
                <w:szCs w:val="24"/>
                <w:lang w:eastAsia="lv-LV"/>
              </w:rPr>
              <w:t>NILLTFNL</w:t>
            </w:r>
            <w:r w:rsidR="007E74E4" w:rsidRPr="00473F49">
              <w:rPr>
                <w:rFonts w:ascii="Times New Roman" w:eastAsia="Times New Roman" w:hAnsi="Times New Roman" w:cs="Times New Roman"/>
                <w:iCs/>
                <w:sz w:val="24"/>
                <w:szCs w:val="24"/>
                <w:lang w:eastAsia="lv-LV"/>
              </w:rPr>
              <w:t xml:space="preserve"> </w:t>
            </w:r>
            <w:r w:rsidR="007B7211" w:rsidRPr="00473F49">
              <w:rPr>
                <w:rFonts w:ascii="Times New Roman" w:eastAsia="Times New Roman" w:hAnsi="Times New Roman" w:cs="Times New Roman"/>
                <w:iCs/>
                <w:sz w:val="24"/>
                <w:szCs w:val="24"/>
                <w:lang w:eastAsia="lv-LV"/>
              </w:rPr>
              <w:t xml:space="preserve">subjektiem) tiek sagaidīts, ka tās būs spējīgas pierādīt </w:t>
            </w:r>
            <w:r w:rsidR="007E74E4">
              <w:rPr>
                <w:rFonts w:ascii="Times New Roman" w:eastAsia="Times New Roman" w:hAnsi="Times New Roman" w:cs="Times New Roman"/>
                <w:iCs/>
                <w:sz w:val="24"/>
                <w:szCs w:val="24"/>
                <w:lang w:eastAsia="lv-LV"/>
              </w:rPr>
              <w:t>uzraudzības un kontroles institūcijām</w:t>
            </w:r>
            <w:r w:rsidR="007B7211" w:rsidRPr="00473F49">
              <w:rPr>
                <w:rFonts w:ascii="Times New Roman" w:eastAsia="Times New Roman" w:hAnsi="Times New Roman" w:cs="Times New Roman"/>
                <w:iCs/>
                <w:sz w:val="24"/>
                <w:szCs w:val="24"/>
                <w:lang w:eastAsia="lv-LV"/>
              </w:rPr>
              <w:t xml:space="preserve">, ka tās ir novērtējušas to drošības pasākumu pieejamību un efektivitāti, kas varētu mazināt attiecīgos </w:t>
            </w:r>
            <w:proofErr w:type="spellStart"/>
            <w:r w:rsidR="007B7211" w:rsidRPr="00473F49">
              <w:rPr>
                <w:rFonts w:ascii="Times New Roman" w:eastAsia="Times New Roman" w:hAnsi="Times New Roman" w:cs="Times New Roman"/>
                <w:iCs/>
                <w:sz w:val="24"/>
                <w:szCs w:val="24"/>
                <w:lang w:eastAsia="lv-LV"/>
              </w:rPr>
              <w:t>riskus</w:t>
            </w:r>
            <w:r w:rsidR="00FE26EE">
              <w:rPr>
                <w:rFonts w:ascii="Times New Roman" w:eastAsia="Times New Roman" w:hAnsi="Times New Roman" w:cs="Times New Roman"/>
                <w:iCs/>
                <w:sz w:val="24"/>
                <w:szCs w:val="24"/>
                <w:lang w:eastAsia="lv-LV"/>
              </w:rPr>
              <w:t>.</w:t>
            </w:r>
            <w:r w:rsidR="007B7211" w:rsidRPr="00473F49">
              <w:rPr>
                <w:rFonts w:ascii="Times New Roman" w:eastAsia="Times New Roman" w:hAnsi="Times New Roman" w:cs="Times New Roman"/>
                <w:iCs/>
                <w:sz w:val="24"/>
                <w:szCs w:val="24"/>
                <w:lang w:eastAsia="lv-LV"/>
              </w:rPr>
              <w:t>ESAs</w:t>
            </w:r>
            <w:proofErr w:type="spellEnd"/>
            <w:r w:rsidR="007B7211" w:rsidRPr="00473F49">
              <w:rPr>
                <w:rFonts w:ascii="Times New Roman" w:eastAsia="Times New Roman" w:hAnsi="Times New Roman" w:cs="Times New Roman"/>
                <w:iCs/>
                <w:sz w:val="24"/>
                <w:szCs w:val="24"/>
                <w:lang w:eastAsia="lv-LV"/>
              </w:rPr>
              <w:t xml:space="preserve"> ieskatā šādi drošības pasākumi var ietvert, piemēram, klienta </w:t>
            </w:r>
            <w:r w:rsidR="007B7211" w:rsidRPr="00473F49">
              <w:rPr>
                <w:rFonts w:ascii="Times New Roman" w:eastAsia="Times New Roman" w:hAnsi="Times New Roman" w:cs="Times New Roman"/>
                <w:iCs/>
                <w:sz w:val="24"/>
                <w:szCs w:val="24"/>
                <w:lang w:eastAsia="lv-LV"/>
              </w:rPr>
              <w:lastRenderedPageBreak/>
              <w:t xml:space="preserve">identitātes pārbaudi, pamatojoties uz </w:t>
            </w:r>
            <w:r w:rsidR="007B7211" w:rsidRPr="007E74E4">
              <w:rPr>
                <w:rFonts w:ascii="Times New Roman" w:eastAsia="Times New Roman" w:hAnsi="Times New Roman" w:cs="Times New Roman"/>
                <w:iCs/>
                <w:sz w:val="24"/>
                <w:szCs w:val="24"/>
                <w:lang w:eastAsia="lv-LV"/>
              </w:rPr>
              <w:t xml:space="preserve">paziņoto </w:t>
            </w:r>
            <w:proofErr w:type="spellStart"/>
            <w:r w:rsidR="007B7211" w:rsidRPr="007E74E4">
              <w:rPr>
                <w:rFonts w:ascii="Times New Roman" w:eastAsia="Times New Roman" w:hAnsi="Times New Roman" w:cs="Times New Roman"/>
                <w:iCs/>
                <w:sz w:val="24"/>
                <w:szCs w:val="24"/>
                <w:lang w:eastAsia="lv-LV"/>
              </w:rPr>
              <w:t>eID</w:t>
            </w:r>
            <w:proofErr w:type="spellEnd"/>
            <w:r w:rsidR="007B7211" w:rsidRPr="007E74E4">
              <w:rPr>
                <w:rFonts w:ascii="Times New Roman" w:eastAsia="Times New Roman" w:hAnsi="Times New Roman" w:cs="Times New Roman"/>
                <w:iCs/>
                <w:sz w:val="24"/>
                <w:szCs w:val="24"/>
                <w:lang w:eastAsia="lv-LV"/>
              </w:rPr>
              <w:t xml:space="preserve"> shēmu</w:t>
            </w:r>
            <w:r w:rsidR="00AC32BC">
              <w:rPr>
                <w:rFonts w:ascii="Times New Roman" w:eastAsia="Times New Roman" w:hAnsi="Times New Roman" w:cs="Times New Roman"/>
                <w:iCs/>
                <w:sz w:val="24"/>
                <w:szCs w:val="24"/>
                <w:lang w:eastAsia="lv-LV"/>
              </w:rPr>
              <w:t xml:space="preserve"> (elektroniski identificējamo datu shēmu)</w:t>
            </w:r>
            <w:r w:rsidR="007B7211" w:rsidRPr="007E74E4">
              <w:rPr>
                <w:rFonts w:ascii="Times New Roman" w:eastAsia="Times New Roman" w:hAnsi="Times New Roman" w:cs="Times New Roman"/>
                <w:iCs/>
                <w:sz w:val="24"/>
                <w:szCs w:val="24"/>
                <w:lang w:eastAsia="lv-LV"/>
              </w:rPr>
              <w:t xml:space="preserve">, saskaņā ar </w:t>
            </w:r>
            <w:bookmarkStart w:id="0" w:name="https://eur-lex.europa.eu/legal-content/"/>
            <w:r w:rsidR="007E74E4" w:rsidRPr="00690EB9">
              <w:rPr>
                <w:rFonts w:ascii="Times New Roman" w:eastAsia="Times New Roman" w:hAnsi="Times New Roman" w:cs="Times New Roman"/>
                <w:iCs/>
                <w:sz w:val="24"/>
                <w:szCs w:val="24"/>
                <w:lang w:eastAsia="lv-LV"/>
              </w:rPr>
              <w:fldChar w:fldCharType="begin"/>
            </w:r>
            <w:r w:rsidR="007E74E4" w:rsidRPr="00690EB9">
              <w:rPr>
                <w:rFonts w:ascii="Times New Roman" w:eastAsia="Times New Roman" w:hAnsi="Times New Roman" w:cs="Times New Roman"/>
                <w:iCs/>
                <w:sz w:val="24"/>
                <w:szCs w:val="24"/>
                <w:lang w:eastAsia="lv-LV"/>
              </w:rPr>
              <w:instrText xml:space="preserve"> HYPERLINK "https://eur-lex.europa.eu/legal-content/AUTO/?uri=CELEX:32014R0910&amp;qid=1529475813873&amp;rid=1" </w:instrText>
            </w:r>
            <w:r w:rsidR="007E74E4" w:rsidRPr="00690EB9">
              <w:rPr>
                <w:rFonts w:ascii="Times New Roman" w:eastAsia="Times New Roman" w:hAnsi="Times New Roman" w:cs="Times New Roman"/>
                <w:iCs/>
                <w:sz w:val="24"/>
                <w:szCs w:val="24"/>
                <w:lang w:eastAsia="lv-LV"/>
              </w:rPr>
              <w:fldChar w:fldCharType="separate"/>
            </w:r>
            <w:r w:rsidR="007E74E4" w:rsidRPr="00690EB9">
              <w:rPr>
                <w:rFonts w:ascii="Times New Roman" w:eastAsia="Times New Roman" w:hAnsi="Times New Roman" w:cs="Times New Roman"/>
                <w:iCs/>
                <w:sz w:val="24"/>
                <w:szCs w:val="24"/>
                <w:lang w:eastAsia="lv-LV"/>
              </w:rPr>
              <w:t>Eiropas Parlamenta un Padomes Regulas (ES)</w:t>
            </w:r>
            <w:r w:rsidR="007E74E4" w:rsidRPr="00690EB9">
              <w:rPr>
                <w:rFonts w:ascii="Times New Roman" w:eastAsia="Times New Roman" w:hAnsi="Times New Roman" w:cs="Times New Roman" w:hint="eastAsia"/>
                <w:iCs/>
                <w:sz w:val="24"/>
                <w:szCs w:val="24"/>
                <w:lang w:eastAsia="lv-LV"/>
              </w:rPr>
              <w:t> </w:t>
            </w:r>
            <w:r w:rsidR="007E74E4" w:rsidRPr="00690EB9">
              <w:rPr>
                <w:rFonts w:ascii="Times New Roman" w:eastAsia="Times New Roman" w:hAnsi="Times New Roman" w:cs="Times New Roman"/>
                <w:sz w:val="24"/>
                <w:szCs w:val="24"/>
                <w:lang w:eastAsia="lv-LV"/>
              </w:rPr>
              <w:t>Nr</w:t>
            </w:r>
            <w:r w:rsidR="007E74E4" w:rsidRPr="00690EB9">
              <w:rPr>
                <w:rFonts w:ascii="Times New Roman" w:eastAsia="Times New Roman" w:hAnsi="Times New Roman" w:cs="Times New Roman"/>
                <w:iCs/>
                <w:sz w:val="24"/>
                <w:szCs w:val="24"/>
                <w:lang w:eastAsia="lv-LV"/>
              </w:rPr>
              <w:t>.</w:t>
            </w:r>
            <w:r w:rsidR="007E74E4" w:rsidRPr="00690EB9">
              <w:rPr>
                <w:rFonts w:ascii="Times New Roman" w:eastAsia="Times New Roman" w:hAnsi="Times New Roman" w:cs="Times New Roman" w:hint="eastAsia"/>
                <w:iCs/>
                <w:sz w:val="24"/>
                <w:szCs w:val="24"/>
                <w:lang w:eastAsia="lv-LV"/>
              </w:rPr>
              <w:t> </w:t>
            </w:r>
            <w:r w:rsidR="007E74E4" w:rsidRPr="00690EB9">
              <w:rPr>
                <w:rFonts w:ascii="Times New Roman" w:eastAsia="Times New Roman" w:hAnsi="Times New Roman" w:cs="Times New Roman"/>
                <w:sz w:val="24"/>
                <w:szCs w:val="24"/>
                <w:lang w:eastAsia="lv-LV"/>
              </w:rPr>
              <w:t>910/2014</w:t>
            </w:r>
            <w:r w:rsidR="007E74E4" w:rsidRPr="00690EB9">
              <w:rPr>
                <w:rFonts w:ascii="Times New Roman" w:eastAsia="Times New Roman" w:hAnsi="Times New Roman" w:cs="Times New Roman" w:hint="eastAsia"/>
                <w:iCs/>
                <w:sz w:val="24"/>
                <w:szCs w:val="24"/>
                <w:lang w:eastAsia="lv-LV"/>
              </w:rPr>
              <w:t> </w:t>
            </w:r>
            <w:r w:rsidR="007E74E4" w:rsidRPr="00690EB9">
              <w:rPr>
                <w:rFonts w:ascii="Times New Roman" w:eastAsia="Times New Roman" w:hAnsi="Times New Roman" w:cs="Times New Roman"/>
                <w:iCs/>
                <w:sz w:val="24"/>
                <w:szCs w:val="24"/>
                <w:lang w:eastAsia="lv-LV"/>
              </w:rPr>
              <w:t>( 2014. gada 23.</w:t>
            </w:r>
            <w:r w:rsidR="007E74E4" w:rsidRPr="00690EB9">
              <w:rPr>
                <w:rFonts w:ascii="Times New Roman" w:eastAsia="Times New Roman" w:hAnsi="Times New Roman" w:cs="Times New Roman" w:hint="eastAsia"/>
                <w:iCs/>
                <w:sz w:val="24"/>
                <w:szCs w:val="24"/>
                <w:lang w:eastAsia="lv-LV"/>
              </w:rPr>
              <w:t> </w:t>
            </w:r>
            <w:r w:rsidR="007E74E4" w:rsidRPr="00690EB9">
              <w:rPr>
                <w:rFonts w:ascii="Times New Roman" w:eastAsia="Times New Roman" w:hAnsi="Times New Roman" w:cs="Times New Roman"/>
                <w:iCs/>
                <w:sz w:val="24"/>
                <w:szCs w:val="24"/>
                <w:lang w:eastAsia="lv-LV"/>
              </w:rPr>
              <w:t>j</w:t>
            </w:r>
            <w:r w:rsidR="007E74E4" w:rsidRPr="00690EB9">
              <w:rPr>
                <w:rFonts w:ascii="Times New Roman" w:eastAsia="Times New Roman" w:hAnsi="Times New Roman" w:cs="Times New Roman" w:hint="eastAsia"/>
                <w:iCs/>
                <w:sz w:val="24"/>
                <w:szCs w:val="24"/>
                <w:lang w:eastAsia="lv-LV"/>
              </w:rPr>
              <w:t>ū</w:t>
            </w:r>
            <w:r w:rsidR="007E74E4" w:rsidRPr="00690EB9">
              <w:rPr>
                <w:rFonts w:ascii="Times New Roman" w:eastAsia="Times New Roman" w:hAnsi="Times New Roman" w:cs="Times New Roman"/>
                <w:iCs/>
                <w:sz w:val="24"/>
                <w:szCs w:val="24"/>
                <w:lang w:eastAsia="lv-LV"/>
              </w:rPr>
              <w:t>lijs ) par elektronisko identifik</w:t>
            </w:r>
            <w:r w:rsidR="007E74E4" w:rsidRPr="00690EB9">
              <w:rPr>
                <w:rFonts w:ascii="Times New Roman" w:eastAsia="Times New Roman" w:hAnsi="Times New Roman" w:cs="Times New Roman" w:hint="eastAsia"/>
                <w:iCs/>
                <w:sz w:val="24"/>
                <w:szCs w:val="24"/>
                <w:lang w:eastAsia="lv-LV"/>
              </w:rPr>
              <w:t>ā</w:t>
            </w:r>
            <w:r w:rsidR="007E74E4" w:rsidRPr="00690EB9">
              <w:rPr>
                <w:rFonts w:ascii="Times New Roman" w:eastAsia="Times New Roman" w:hAnsi="Times New Roman" w:cs="Times New Roman"/>
                <w:iCs/>
                <w:sz w:val="24"/>
                <w:szCs w:val="24"/>
                <w:lang w:eastAsia="lv-LV"/>
              </w:rPr>
              <w:t>ciju un uzticam</w:t>
            </w:r>
            <w:r w:rsidR="007E74E4" w:rsidRPr="00690EB9">
              <w:rPr>
                <w:rFonts w:ascii="Times New Roman" w:eastAsia="Times New Roman" w:hAnsi="Times New Roman" w:cs="Times New Roman" w:hint="eastAsia"/>
                <w:iCs/>
                <w:sz w:val="24"/>
                <w:szCs w:val="24"/>
                <w:lang w:eastAsia="lv-LV"/>
              </w:rPr>
              <w:t>ī</w:t>
            </w:r>
            <w:r w:rsidR="007E74E4" w:rsidRPr="00690EB9">
              <w:rPr>
                <w:rFonts w:ascii="Times New Roman" w:eastAsia="Times New Roman" w:hAnsi="Times New Roman" w:cs="Times New Roman"/>
                <w:iCs/>
                <w:sz w:val="24"/>
                <w:szCs w:val="24"/>
                <w:lang w:eastAsia="lv-LV"/>
              </w:rPr>
              <w:t>bas pakalpojumiem elektronisko dar</w:t>
            </w:r>
            <w:r w:rsidR="007E74E4" w:rsidRPr="00690EB9">
              <w:rPr>
                <w:rFonts w:ascii="Times New Roman" w:eastAsia="Times New Roman" w:hAnsi="Times New Roman" w:cs="Times New Roman" w:hint="eastAsia"/>
                <w:iCs/>
                <w:sz w:val="24"/>
                <w:szCs w:val="24"/>
                <w:lang w:eastAsia="lv-LV"/>
              </w:rPr>
              <w:t>ī</w:t>
            </w:r>
            <w:r w:rsidR="007E74E4" w:rsidRPr="00690EB9">
              <w:rPr>
                <w:rFonts w:ascii="Times New Roman" w:eastAsia="Times New Roman" w:hAnsi="Times New Roman" w:cs="Times New Roman"/>
                <w:iCs/>
                <w:sz w:val="24"/>
                <w:szCs w:val="24"/>
                <w:lang w:eastAsia="lv-LV"/>
              </w:rPr>
              <w:t>jumu veik</w:t>
            </w:r>
            <w:r w:rsidR="007E74E4" w:rsidRPr="00690EB9">
              <w:rPr>
                <w:rFonts w:ascii="Times New Roman" w:eastAsia="Times New Roman" w:hAnsi="Times New Roman" w:cs="Times New Roman" w:hint="eastAsia"/>
                <w:iCs/>
                <w:sz w:val="24"/>
                <w:szCs w:val="24"/>
                <w:lang w:eastAsia="lv-LV"/>
              </w:rPr>
              <w:t>š</w:t>
            </w:r>
            <w:r w:rsidR="007E74E4" w:rsidRPr="00690EB9">
              <w:rPr>
                <w:rFonts w:ascii="Times New Roman" w:eastAsia="Times New Roman" w:hAnsi="Times New Roman" w:cs="Times New Roman"/>
                <w:iCs/>
                <w:sz w:val="24"/>
                <w:szCs w:val="24"/>
                <w:lang w:eastAsia="lv-LV"/>
              </w:rPr>
              <w:t>anai iek</w:t>
            </w:r>
            <w:r w:rsidR="007E74E4" w:rsidRPr="00690EB9">
              <w:rPr>
                <w:rFonts w:ascii="Times New Roman" w:eastAsia="Times New Roman" w:hAnsi="Times New Roman" w:cs="Times New Roman" w:hint="eastAsia"/>
                <w:iCs/>
                <w:sz w:val="24"/>
                <w:szCs w:val="24"/>
                <w:lang w:eastAsia="lv-LV"/>
              </w:rPr>
              <w:t>šē</w:t>
            </w:r>
            <w:r w:rsidR="007E74E4" w:rsidRPr="00690EB9">
              <w:rPr>
                <w:rFonts w:ascii="Times New Roman" w:eastAsia="Times New Roman" w:hAnsi="Times New Roman" w:cs="Times New Roman"/>
                <w:iCs/>
                <w:sz w:val="24"/>
                <w:szCs w:val="24"/>
                <w:lang w:eastAsia="lv-LV"/>
              </w:rPr>
              <w:t>j</w:t>
            </w:r>
            <w:r w:rsidR="007E74E4" w:rsidRPr="00690EB9">
              <w:rPr>
                <w:rFonts w:ascii="Times New Roman" w:eastAsia="Times New Roman" w:hAnsi="Times New Roman" w:cs="Times New Roman" w:hint="eastAsia"/>
                <w:iCs/>
                <w:sz w:val="24"/>
                <w:szCs w:val="24"/>
                <w:lang w:eastAsia="lv-LV"/>
              </w:rPr>
              <w:t>ā</w:t>
            </w:r>
            <w:r w:rsidR="007E74E4" w:rsidRPr="00690EB9">
              <w:rPr>
                <w:rFonts w:ascii="Times New Roman" w:eastAsia="Times New Roman" w:hAnsi="Times New Roman" w:cs="Times New Roman"/>
                <w:iCs/>
                <w:sz w:val="24"/>
                <w:szCs w:val="24"/>
                <w:lang w:eastAsia="lv-LV"/>
              </w:rPr>
              <w:t xml:space="preserve"> tirg</w:t>
            </w:r>
            <w:r w:rsidR="007E74E4" w:rsidRPr="00690EB9">
              <w:rPr>
                <w:rFonts w:ascii="Times New Roman" w:eastAsia="Times New Roman" w:hAnsi="Times New Roman" w:cs="Times New Roman" w:hint="eastAsia"/>
                <w:iCs/>
                <w:sz w:val="24"/>
                <w:szCs w:val="24"/>
                <w:lang w:eastAsia="lv-LV"/>
              </w:rPr>
              <w:t>ū</w:t>
            </w:r>
            <w:r w:rsidR="007E74E4" w:rsidRPr="00690EB9">
              <w:rPr>
                <w:rFonts w:ascii="Times New Roman" w:eastAsia="Times New Roman" w:hAnsi="Times New Roman" w:cs="Times New Roman"/>
                <w:iCs/>
                <w:sz w:val="24"/>
                <w:szCs w:val="24"/>
                <w:lang w:eastAsia="lv-LV"/>
              </w:rPr>
              <w:t xml:space="preserve"> un ar ko atce</w:t>
            </w:r>
            <w:r w:rsidR="007E74E4" w:rsidRPr="00690EB9">
              <w:rPr>
                <w:rFonts w:ascii="Times New Roman" w:eastAsia="Times New Roman" w:hAnsi="Times New Roman" w:cs="Times New Roman" w:hint="eastAsia"/>
                <w:iCs/>
                <w:sz w:val="24"/>
                <w:szCs w:val="24"/>
                <w:lang w:eastAsia="lv-LV"/>
              </w:rPr>
              <w:t>ļ</w:t>
            </w:r>
            <w:r w:rsidR="007E74E4" w:rsidRPr="00690EB9">
              <w:rPr>
                <w:rFonts w:ascii="Times New Roman" w:eastAsia="Times New Roman" w:hAnsi="Times New Roman" w:cs="Times New Roman"/>
                <w:iCs/>
                <w:sz w:val="24"/>
                <w:szCs w:val="24"/>
                <w:lang w:eastAsia="lv-LV"/>
              </w:rPr>
              <w:t xml:space="preserve"> Direkt</w:t>
            </w:r>
            <w:r w:rsidR="007E74E4" w:rsidRPr="00690EB9">
              <w:rPr>
                <w:rFonts w:ascii="Times New Roman" w:eastAsia="Times New Roman" w:hAnsi="Times New Roman" w:cs="Times New Roman" w:hint="eastAsia"/>
                <w:iCs/>
                <w:sz w:val="24"/>
                <w:szCs w:val="24"/>
                <w:lang w:eastAsia="lv-LV"/>
              </w:rPr>
              <w:t>ī</w:t>
            </w:r>
            <w:r w:rsidR="007E74E4" w:rsidRPr="00690EB9">
              <w:rPr>
                <w:rFonts w:ascii="Times New Roman" w:eastAsia="Times New Roman" w:hAnsi="Times New Roman" w:cs="Times New Roman"/>
                <w:iCs/>
                <w:sz w:val="24"/>
                <w:szCs w:val="24"/>
                <w:lang w:eastAsia="lv-LV"/>
              </w:rPr>
              <w:t>vu 1999/93/EK</w:t>
            </w:r>
            <w:r w:rsidR="007E74E4" w:rsidRPr="00690EB9">
              <w:rPr>
                <w:rFonts w:ascii="Times New Roman" w:eastAsia="Times New Roman" w:hAnsi="Times New Roman" w:cs="Times New Roman"/>
                <w:iCs/>
                <w:sz w:val="24"/>
                <w:szCs w:val="24"/>
                <w:lang w:eastAsia="lv-LV"/>
              </w:rPr>
              <w:fldChar w:fldCharType="end"/>
            </w:r>
            <w:bookmarkEnd w:id="0"/>
            <w:r w:rsidR="007E74E4" w:rsidRPr="007E74E4">
              <w:rPr>
                <w:rFonts w:ascii="Times New Roman" w:eastAsia="Times New Roman" w:hAnsi="Times New Roman" w:cs="Times New Roman"/>
                <w:iCs/>
                <w:sz w:val="24"/>
                <w:szCs w:val="24"/>
                <w:lang w:eastAsia="lv-LV"/>
              </w:rPr>
              <w:t xml:space="preserve"> </w:t>
            </w:r>
            <w:r w:rsidR="007B7211" w:rsidRPr="00473F49">
              <w:rPr>
                <w:rFonts w:ascii="Times New Roman" w:eastAsia="Times New Roman" w:hAnsi="Times New Roman" w:cs="Times New Roman"/>
                <w:iCs/>
                <w:sz w:val="24"/>
                <w:szCs w:val="24"/>
                <w:lang w:eastAsia="lv-LV"/>
              </w:rPr>
              <w:t>noteikumiem, vai arī citi drošības pasākumi, kas nodrošina iegūtās informācija saistību ar konkrētu klientu, piemēram, klienta identitātes pārbaude, pamatojoties uz tradicionālākiem procesiem, cita starpā, nosūtot vēstuli uz klienta verificēto mājas adresi. Tāpat, pie attiecīgajiem drošības pasākumiem varētu būt pieskaitāma pirmā maksājuma veikšana no konta, kas atvērts E</w:t>
            </w:r>
            <w:r w:rsidR="00AC32BC">
              <w:rPr>
                <w:rFonts w:ascii="Times New Roman" w:eastAsia="Times New Roman" w:hAnsi="Times New Roman" w:cs="Times New Roman"/>
                <w:iCs/>
                <w:sz w:val="24"/>
                <w:szCs w:val="24"/>
                <w:lang w:eastAsia="lv-LV"/>
              </w:rPr>
              <w:t xml:space="preserve">S </w:t>
            </w:r>
            <w:r w:rsidR="007B7211" w:rsidRPr="00473F49">
              <w:rPr>
                <w:rFonts w:ascii="Times New Roman" w:eastAsia="Times New Roman" w:hAnsi="Times New Roman" w:cs="Times New Roman"/>
                <w:iCs/>
                <w:sz w:val="24"/>
                <w:szCs w:val="24"/>
                <w:lang w:eastAsia="lv-LV"/>
              </w:rPr>
              <w:t>reģistrētā bankā</w:t>
            </w:r>
            <w:r w:rsidR="00B3740F" w:rsidRPr="00473F49">
              <w:rPr>
                <w:rFonts w:ascii="Times New Roman" w:eastAsia="Times New Roman" w:hAnsi="Times New Roman" w:cs="Times New Roman"/>
                <w:iCs/>
                <w:sz w:val="24"/>
                <w:szCs w:val="24"/>
                <w:lang w:eastAsia="lv-LV"/>
              </w:rPr>
              <w:t>;</w:t>
            </w:r>
          </w:p>
          <w:p w:rsidR="005B5C31" w:rsidRPr="00473F49" w:rsidRDefault="00B3740F" w:rsidP="005B5C31">
            <w:pPr>
              <w:pStyle w:val="ListParagraph"/>
              <w:numPr>
                <w:ilvl w:val="0"/>
                <w:numId w:val="2"/>
              </w:numPr>
              <w:spacing w:after="0" w:line="276" w:lineRule="auto"/>
              <w:ind w:left="360"/>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v</w:t>
            </w:r>
            <w:r w:rsidR="007B7211" w:rsidRPr="00473F49">
              <w:rPr>
                <w:rFonts w:ascii="Times New Roman" w:eastAsia="Times New Roman" w:hAnsi="Times New Roman" w:cs="Times New Roman"/>
                <w:iCs/>
                <w:sz w:val="24"/>
                <w:szCs w:val="24"/>
                <w:lang w:eastAsia="lv-LV"/>
              </w:rPr>
              <w:t xml:space="preserve">ai pastāv risks, ka identitātes pārbaudes laikā, klients var tikt iebiedēts, apdraudēts un </w:t>
            </w:r>
            <w:r w:rsidRPr="00473F49">
              <w:rPr>
                <w:rFonts w:ascii="Times New Roman" w:eastAsia="Times New Roman" w:hAnsi="Times New Roman" w:cs="Times New Roman"/>
                <w:iCs/>
                <w:sz w:val="24"/>
                <w:szCs w:val="24"/>
                <w:lang w:eastAsia="lv-LV"/>
              </w:rPr>
              <w:t xml:space="preserve">tādējādi </w:t>
            </w:r>
            <w:r w:rsidR="007B7211" w:rsidRPr="00473F49">
              <w:rPr>
                <w:rFonts w:ascii="Times New Roman" w:eastAsia="Times New Roman" w:hAnsi="Times New Roman" w:cs="Times New Roman"/>
                <w:iCs/>
                <w:sz w:val="24"/>
                <w:szCs w:val="24"/>
                <w:lang w:eastAsia="lv-LV"/>
              </w:rPr>
              <w:t xml:space="preserve">identifikācija notikusi piespiedu kārtā? Risku, ka identitātes pārbaudes laikā klients var tikt apdraudēts, nav iespējams pilnībā izslēgt nevienā no neklātienes identifikācijas veidiem, arī </w:t>
            </w:r>
            <w:proofErr w:type="spellStart"/>
            <w:r w:rsidR="007B7211" w:rsidRPr="00473F49">
              <w:rPr>
                <w:rFonts w:ascii="Times New Roman" w:eastAsia="Times New Roman" w:hAnsi="Times New Roman" w:cs="Times New Roman"/>
                <w:iCs/>
                <w:sz w:val="24"/>
                <w:szCs w:val="24"/>
                <w:lang w:eastAsia="lv-LV"/>
              </w:rPr>
              <w:t>videoidentifikācijas</w:t>
            </w:r>
            <w:proofErr w:type="spellEnd"/>
            <w:r w:rsidR="007B7211" w:rsidRPr="00473F49">
              <w:rPr>
                <w:rFonts w:ascii="Times New Roman" w:eastAsia="Times New Roman" w:hAnsi="Times New Roman" w:cs="Times New Roman"/>
                <w:iCs/>
                <w:sz w:val="24"/>
                <w:szCs w:val="24"/>
                <w:lang w:eastAsia="lv-LV"/>
              </w:rPr>
              <w:t xml:space="preserve"> laikā. Taču šo risku iespējams mazināt, piemēram, paaugstinot autentifikācijas sarežģītības līmeni.</w:t>
            </w:r>
          </w:p>
          <w:p w:rsidR="005A2CA1" w:rsidRPr="00473F49" w:rsidRDefault="00B34B7B" w:rsidP="005A2C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projekts </w:t>
            </w:r>
            <w:r w:rsidR="0032780C" w:rsidRPr="00473F49">
              <w:rPr>
                <w:rFonts w:ascii="Times New Roman" w:eastAsia="Times New Roman" w:hAnsi="Times New Roman" w:cs="Times New Roman"/>
                <w:iCs/>
                <w:sz w:val="24"/>
                <w:szCs w:val="24"/>
                <w:lang w:eastAsia="lv-LV"/>
              </w:rPr>
              <w:t xml:space="preserve">paredz iespēju izvēlēties to, kādus tehnoloģiskos līdzekļus ieviest vai izmantot </w:t>
            </w:r>
            <w:r w:rsidR="009A5DF9">
              <w:rPr>
                <w:rFonts w:ascii="Times New Roman" w:eastAsia="Times New Roman" w:hAnsi="Times New Roman" w:cs="Times New Roman"/>
                <w:iCs/>
                <w:sz w:val="24"/>
                <w:szCs w:val="24"/>
                <w:lang w:eastAsia="lv-LV"/>
              </w:rPr>
              <w:t>klienta</w:t>
            </w:r>
            <w:r w:rsidR="004C4714">
              <w:rPr>
                <w:rFonts w:ascii="Times New Roman" w:eastAsia="Times New Roman" w:hAnsi="Times New Roman" w:cs="Times New Roman"/>
                <w:iCs/>
                <w:sz w:val="24"/>
                <w:szCs w:val="24"/>
                <w:lang w:eastAsia="lv-LV"/>
              </w:rPr>
              <w:t xml:space="preserve"> </w:t>
            </w:r>
            <w:r w:rsidR="006A3791" w:rsidRPr="00473F49">
              <w:rPr>
                <w:rFonts w:ascii="Times New Roman" w:eastAsia="Times New Roman" w:hAnsi="Times New Roman" w:cs="Times New Roman"/>
                <w:iCs/>
                <w:sz w:val="24"/>
                <w:szCs w:val="24"/>
                <w:lang w:eastAsia="lv-LV"/>
              </w:rPr>
              <w:t xml:space="preserve">identifikācijas un personas identitātes pārbaudei, lai piekļūtu tiešsaistes </w:t>
            </w:r>
            <w:r w:rsidR="0083114E">
              <w:rPr>
                <w:rFonts w:ascii="Times New Roman" w:eastAsia="Times New Roman" w:hAnsi="Times New Roman" w:cs="Times New Roman"/>
                <w:iCs/>
                <w:sz w:val="24"/>
                <w:szCs w:val="24"/>
                <w:lang w:eastAsia="lv-LV"/>
              </w:rPr>
              <w:t xml:space="preserve">un cita veida </w:t>
            </w:r>
            <w:r w:rsidR="006A3791" w:rsidRPr="00473F49">
              <w:rPr>
                <w:rFonts w:ascii="Times New Roman" w:eastAsia="Times New Roman" w:hAnsi="Times New Roman" w:cs="Times New Roman"/>
                <w:iCs/>
                <w:sz w:val="24"/>
                <w:szCs w:val="24"/>
                <w:lang w:eastAsia="lv-LV"/>
              </w:rPr>
              <w:t xml:space="preserve">pakalpojumiem. </w:t>
            </w:r>
          </w:p>
          <w:p w:rsidR="005A2CA1" w:rsidRPr="00473F49" w:rsidRDefault="005A2CA1" w:rsidP="005A2CA1">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NILLTFNL 23. pants paredz iespēju </w:t>
            </w:r>
            <w:r w:rsidR="00AC32BC">
              <w:rPr>
                <w:rFonts w:ascii="Times New Roman" w:eastAsia="Times New Roman" w:hAnsi="Times New Roman" w:cs="Times New Roman"/>
                <w:iCs/>
                <w:sz w:val="24"/>
                <w:szCs w:val="24"/>
                <w:lang w:eastAsia="lv-LV"/>
              </w:rPr>
              <w:t>NILLTFNL</w:t>
            </w:r>
            <w:r w:rsidR="00AC32BC" w:rsidRPr="00473F49">
              <w:rPr>
                <w:rFonts w:ascii="Times New Roman" w:eastAsia="Times New Roman" w:hAnsi="Times New Roman" w:cs="Times New Roman"/>
                <w:iCs/>
                <w:sz w:val="24"/>
                <w:szCs w:val="24"/>
                <w:lang w:eastAsia="lv-LV"/>
              </w:rPr>
              <w:t xml:space="preserve"> </w:t>
            </w:r>
            <w:r w:rsidR="00634EAD" w:rsidRPr="00473F49">
              <w:rPr>
                <w:rFonts w:ascii="Times New Roman" w:eastAsia="Times New Roman" w:hAnsi="Times New Roman" w:cs="Times New Roman"/>
                <w:iCs/>
                <w:sz w:val="24"/>
                <w:szCs w:val="24"/>
                <w:lang w:eastAsia="lv-LV"/>
              </w:rPr>
              <w:t>subjektiem</w:t>
            </w:r>
            <w:r w:rsidRPr="00473F49">
              <w:rPr>
                <w:rFonts w:ascii="Times New Roman" w:eastAsia="Times New Roman" w:hAnsi="Times New Roman" w:cs="Times New Roman"/>
                <w:iCs/>
                <w:sz w:val="24"/>
                <w:szCs w:val="24"/>
                <w:lang w:eastAsia="lv-LV"/>
              </w:rPr>
              <w:t xml:space="preserve"> veikt klientu neklātienes identifikāciju gadījumā, ja iestājušies NILLTFNL noteiktie nosacījumi </w:t>
            </w:r>
            <w:r w:rsidR="0046296F">
              <w:rPr>
                <w:rFonts w:ascii="Times New Roman" w:eastAsia="Times New Roman" w:hAnsi="Times New Roman" w:cs="Times New Roman"/>
                <w:iCs/>
                <w:sz w:val="24"/>
                <w:szCs w:val="24"/>
                <w:lang w:eastAsia="lv-LV"/>
              </w:rPr>
              <w:t xml:space="preserve">klienta </w:t>
            </w:r>
            <w:r w:rsidRPr="00473F49">
              <w:rPr>
                <w:rFonts w:ascii="Times New Roman" w:eastAsia="Times New Roman" w:hAnsi="Times New Roman" w:cs="Times New Roman"/>
                <w:iCs/>
                <w:sz w:val="24"/>
                <w:szCs w:val="24"/>
                <w:lang w:eastAsia="lv-LV"/>
              </w:rPr>
              <w:t>neklātienes identifikācijas veikšanai.</w:t>
            </w:r>
          </w:p>
          <w:p w:rsidR="005A2CA1" w:rsidRPr="00473F49" w:rsidRDefault="005A2CA1" w:rsidP="005A2CA1">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Saskaņā ar NILLTFNL</w:t>
            </w:r>
            <w:r w:rsidR="00B34B7B">
              <w:rPr>
                <w:rFonts w:ascii="Times New Roman" w:eastAsia="Times New Roman" w:hAnsi="Times New Roman" w:cs="Times New Roman"/>
                <w:iCs/>
                <w:sz w:val="24"/>
                <w:szCs w:val="24"/>
                <w:lang w:eastAsia="lv-LV"/>
              </w:rPr>
              <w:t>,</w:t>
            </w:r>
            <w:r w:rsidRPr="00473F49">
              <w:rPr>
                <w:rFonts w:ascii="Times New Roman" w:eastAsia="Times New Roman" w:hAnsi="Times New Roman" w:cs="Times New Roman"/>
                <w:iCs/>
                <w:sz w:val="24"/>
                <w:szCs w:val="24"/>
                <w:lang w:eastAsia="lv-LV"/>
              </w:rPr>
              <w:t xml:space="preserve"> </w:t>
            </w:r>
            <w:r w:rsidR="0046296F">
              <w:rPr>
                <w:rFonts w:ascii="Times New Roman" w:eastAsia="Times New Roman" w:hAnsi="Times New Roman" w:cs="Times New Roman"/>
                <w:iCs/>
                <w:sz w:val="24"/>
                <w:szCs w:val="24"/>
                <w:lang w:eastAsia="lv-LV"/>
              </w:rPr>
              <w:t>NILLTFNL</w:t>
            </w:r>
            <w:r w:rsidR="0046296F"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subjekts ir tiesīgs veikt </w:t>
            </w:r>
            <w:r w:rsidR="0046296F">
              <w:rPr>
                <w:rFonts w:ascii="Times New Roman" w:eastAsia="Times New Roman" w:hAnsi="Times New Roman" w:cs="Times New Roman"/>
                <w:iCs/>
                <w:sz w:val="24"/>
                <w:szCs w:val="24"/>
                <w:lang w:eastAsia="lv-LV"/>
              </w:rPr>
              <w:t xml:space="preserve">klienta </w:t>
            </w:r>
            <w:r w:rsidRPr="00473F49">
              <w:rPr>
                <w:rFonts w:ascii="Times New Roman" w:eastAsia="Times New Roman" w:hAnsi="Times New Roman" w:cs="Times New Roman"/>
                <w:iCs/>
                <w:sz w:val="24"/>
                <w:szCs w:val="24"/>
                <w:lang w:eastAsia="lv-LV"/>
              </w:rPr>
              <w:t xml:space="preserve">neklātienes identifikāciju atbilstoši Ministru kabineta pieņemtajiem noteikumiem. Ja </w:t>
            </w:r>
            <w:r w:rsidR="0046296F">
              <w:rPr>
                <w:rFonts w:ascii="Times New Roman" w:eastAsia="Times New Roman" w:hAnsi="Times New Roman" w:cs="Times New Roman"/>
                <w:iCs/>
                <w:sz w:val="24"/>
                <w:szCs w:val="24"/>
                <w:lang w:eastAsia="lv-LV"/>
              </w:rPr>
              <w:t>NILLTFNL</w:t>
            </w:r>
            <w:r w:rsidR="0046296F"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subjekts </w:t>
            </w:r>
            <w:r w:rsidR="0046296F">
              <w:rPr>
                <w:rFonts w:ascii="Times New Roman" w:eastAsia="Times New Roman" w:hAnsi="Times New Roman" w:cs="Times New Roman"/>
                <w:iCs/>
                <w:sz w:val="24"/>
                <w:szCs w:val="24"/>
                <w:lang w:eastAsia="lv-LV"/>
              </w:rPr>
              <w:t xml:space="preserve">klienta </w:t>
            </w:r>
            <w:r w:rsidRPr="00473F49">
              <w:rPr>
                <w:rFonts w:ascii="Times New Roman" w:eastAsia="Times New Roman" w:hAnsi="Times New Roman" w:cs="Times New Roman"/>
                <w:iCs/>
                <w:sz w:val="24"/>
                <w:szCs w:val="24"/>
                <w:lang w:eastAsia="lv-LV"/>
              </w:rPr>
              <w:t>neklātienes identifikāciju veic, neievērojot Ministru kabineta noteikumu prasības, tam jāveic konkrēto klientu padziļinātā izpēte</w:t>
            </w:r>
            <w:r w:rsidR="0046296F">
              <w:rPr>
                <w:rFonts w:ascii="Times New Roman" w:eastAsia="Times New Roman" w:hAnsi="Times New Roman" w:cs="Times New Roman"/>
                <w:iCs/>
                <w:sz w:val="24"/>
                <w:szCs w:val="24"/>
                <w:lang w:eastAsia="lv-LV"/>
              </w:rPr>
              <w:t xml:space="preserve"> ( atbilstoši NILLTFNL 22.pantam )</w:t>
            </w:r>
            <w:r w:rsidRPr="00473F49">
              <w:rPr>
                <w:rFonts w:ascii="Times New Roman" w:eastAsia="Times New Roman" w:hAnsi="Times New Roman" w:cs="Times New Roman"/>
                <w:iCs/>
                <w:sz w:val="24"/>
                <w:szCs w:val="24"/>
                <w:lang w:eastAsia="lv-LV"/>
              </w:rPr>
              <w:t>. M</w:t>
            </w:r>
            <w:r w:rsidR="00B3740F" w:rsidRPr="00473F49">
              <w:rPr>
                <w:rFonts w:ascii="Times New Roman" w:eastAsia="Times New Roman" w:hAnsi="Times New Roman" w:cs="Times New Roman"/>
                <w:iCs/>
                <w:sz w:val="24"/>
                <w:szCs w:val="24"/>
                <w:lang w:eastAsia="lv-LV"/>
              </w:rPr>
              <w:t>K</w:t>
            </w:r>
            <w:r w:rsidRPr="00473F49">
              <w:rPr>
                <w:rFonts w:ascii="Times New Roman" w:eastAsia="Times New Roman" w:hAnsi="Times New Roman" w:cs="Times New Roman"/>
                <w:iCs/>
                <w:sz w:val="24"/>
                <w:szCs w:val="24"/>
                <w:lang w:eastAsia="lv-LV"/>
              </w:rPr>
              <w:t xml:space="preserve"> noteikum</w:t>
            </w:r>
            <w:r w:rsidR="00B3740F" w:rsidRPr="00473F49">
              <w:rPr>
                <w:rFonts w:ascii="Times New Roman" w:eastAsia="Times New Roman" w:hAnsi="Times New Roman" w:cs="Times New Roman"/>
                <w:iCs/>
                <w:sz w:val="24"/>
                <w:szCs w:val="24"/>
                <w:lang w:eastAsia="lv-LV"/>
              </w:rPr>
              <w:t>u projektā</w:t>
            </w:r>
            <w:r w:rsidRPr="00473F49">
              <w:rPr>
                <w:rFonts w:ascii="Times New Roman" w:eastAsia="Times New Roman" w:hAnsi="Times New Roman" w:cs="Times New Roman"/>
                <w:iCs/>
                <w:sz w:val="24"/>
                <w:szCs w:val="24"/>
                <w:lang w:eastAsia="lv-LV"/>
              </w:rPr>
              <w:t xml:space="preserve"> noteikta neklātienes identifikācijas veikšanas kārtība un veidi atbilstoši NILLTFNL noteiktajam deleģējumam.</w:t>
            </w:r>
          </w:p>
          <w:p w:rsidR="005A2CA1" w:rsidRPr="00473F49" w:rsidRDefault="0046296F" w:rsidP="005A2C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Klienta n</w:t>
            </w:r>
            <w:r w:rsidRPr="00473F49">
              <w:rPr>
                <w:rFonts w:ascii="Times New Roman" w:eastAsia="Times New Roman" w:hAnsi="Times New Roman" w:cs="Times New Roman"/>
                <w:iCs/>
                <w:sz w:val="24"/>
                <w:szCs w:val="24"/>
                <w:lang w:eastAsia="lv-LV"/>
              </w:rPr>
              <w:t xml:space="preserve">eklātienes </w:t>
            </w:r>
            <w:r w:rsidR="005A2CA1" w:rsidRPr="00473F49">
              <w:rPr>
                <w:rFonts w:ascii="Times New Roman" w:eastAsia="Times New Roman" w:hAnsi="Times New Roman" w:cs="Times New Roman"/>
                <w:iCs/>
                <w:sz w:val="24"/>
                <w:szCs w:val="24"/>
                <w:lang w:eastAsia="lv-LV"/>
              </w:rPr>
              <w:t xml:space="preserve">identifikācijas nepieciešamību nosaka tehnoloģiju straujā attīstība, kā arī </w:t>
            </w:r>
            <w:r>
              <w:rPr>
                <w:rFonts w:ascii="Times New Roman" w:eastAsia="Times New Roman" w:hAnsi="Times New Roman" w:cs="Times New Roman"/>
                <w:iCs/>
                <w:sz w:val="24"/>
                <w:szCs w:val="24"/>
                <w:lang w:eastAsia="lv-LV"/>
              </w:rPr>
              <w:t>NILLTFNL</w:t>
            </w:r>
            <w:r w:rsidRPr="00473F49">
              <w:rPr>
                <w:rFonts w:ascii="Times New Roman" w:eastAsia="Times New Roman" w:hAnsi="Times New Roman" w:cs="Times New Roman"/>
                <w:iCs/>
                <w:sz w:val="24"/>
                <w:szCs w:val="24"/>
                <w:lang w:eastAsia="lv-LV"/>
              </w:rPr>
              <w:t xml:space="preserve"> </w:t>
            </w:r>
            <w:r w:rsidR="005A2CA1" w:rsidRPr="00473F49">
              <w:rPr>
                <w:rFonts w:ascii="Times New Roman" w:eastAsia="Times New Roman" w:hAnsi="Times New Roman" w:cs="Times New Roman"/>
                <w:iCs/>
                <w:sz w:val="24"/>
                <w:szCs w:val="24"/>
                <w:lang w:eastAsia="lv-LV"/>
              </w:rPr>
              <w:lastRenderedPageBreak/>
              <w:t>subjektu piedāvāto pakalpojumu klāsts. Pakalpojumu tirgū jauni dalībnieki ienāk ne tikai piedāvājot agrāk nebijušus, jaunus pakalpojumus un, radot efektīvu konkurenci (lielāku izvēli patērētājam), bet arī,</w:t>
            </w:r>
            <w:r w:rsidR="00DF64D8">
              <w:rPr>
                <w:rFonts w:ascii="Times New Roman" w:eastAsia="Times New Roman" w:hAnsi="Times New Roman" w:cs="Times New Roman"/>
                <w:iCs/>
                <w:sz w:val="24"/>
                <w:szCs w:val="24"/>
                <w:lang w:eastAsia="lv-LV"/>
              </w:rPr>
              <w:t xml:space="preserve"> </w:t>
            </w:r>
            <w:r w:rsidR="005A2CA1" w:rsidRPr="00473F49">
              <w:rPr>
                <w:rFonts w:ascii="Times New Roman" w:eastAsia="Times New Roman" w:hAnsi="Times New Roman" w:cs="Times New Roman"/>
                <w:iCs/>
                <w:sz w:val="24"/>
                <w:szCs w:val="24"/>
                <w:lang w:eastAsia="lv-LV"/>
              </w:rPr>
              <w:t xml:space="preserve">piedāvājot jaunas digitālas infrastruktūras jau esošajiem tradicionāliem tirgus dalībniekiem. Tādēļ rodas palielināta nepieciešamība efektīvi un ātri nodrošināt jaunos vai esošos pakalpojumus klientiem. </w:t>
            </w:r>
          </w:p>
          <w:p w:rsidR="00CD5478" w:rsidRPr="00473F49" w:rsidRDefault="005A2CA1" w:rsidP="00CD5478">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Klienta identifikācija klātienē bieži vien ir laikietilpīga, kā dēļ pakalpojumu sniegšana tiek atlikta vai kavēta. Lai minēto trūkumu mazinātu, plāno</w:t>
            </w:r>
            <w:r w:rsidR="00F74D82" w:rsidRPr="00473F49">
              <w:rPr>
                <w:rFonts w:ascii="Times New Roman" w:eastAsia="Times New Roman" w:hAnsi="Times New Roman" w:cs="Times New Roman"/>
                <w:iCs/>
                <w:sz w:val="24"/>
                <w:szCs w:val="24"/>
                <w:lang w:eastAsia="lv-LV"/>
              </w:rPr>
              <w:t>ts</w:t>
            </w:r>
            <w:r w:rsidRPr="00473F49">
              <w:rPr>
                <w:rFonts w:ascii="Times New Roman" w:eastAsia="Times New Roman" w:hAnsi="Times New Roman" w:cs="Times New Roman"/>
                <w:iCs/>
                <w:sz w:val="24"/>
                <w:szCs w:val="24"/>
                <w:lang w:eastAsia="lv-LV"/>
              </w:rPr>
              <w:t xml:space="preserve"> nodrošināt </w:t>
            </w:r>
            <w:r w:rsidR="00DF64D8">
              <w:rPr>
                <w:rFonts w:ascii="Times New Roman" w:eastAsia="Times New Roman" w:hAnsi="Times New Roman" w:cs="Times New Roman"/>
                <w:iCs/>
                <w:sz w:val="24"/>
                <w:szCs w:val="24"/>
                <w:lang w:eastAsia="lv-LV"/>
              </w:rPr>
              <w:t>NILLTFNL</w:t>
            </w:r>
            <w:r w:rsidR="00DF64D8"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subjektiem iespēju veikt klient</w:t>
            </w:r>
            <w:r w:rsidR="00DF64D8">
              <w:rPr>
                <w:rFonts w:ascii="Times New Roman" w:eastAsia="Times New Roman" w:hAnsi="Times New Roman" w:cs="Times New Roman"/>
                <w:iCs/>
                <w:sz w:val="24"/>
                <w:szCs w:val="24"/>
                <w:lang w:eastAsia="lv-LV"/>
              </w:rPr>
              <w:t>a</w:t>
            </w:r>
            <w:r w:rsidRPr="00473F49">
              <w:rPr>
                <w:rFonts w:ascii="Times New Roman" w:eastAsia="Times New Roman" w:hAnsi="Times New Roman" w:cs="Times New Roman"/>
                <w:iCs/>
                <w:sz w:val="24"/>
                <w:szCs w:val="24"/>
                <w:lang w:eastAsia="lv-LV"/>
              </w:rPr>
              <w:t xml:space="preserve"> neklātienes identifikāciju, jo šī identifikācijas metode tās piemērojamos veidos var būt tikpat droša kā </w:t>
            </w:r>
            <w:r w:rsidR="00DF64D8" w:rsidRPr="00473F49">
              <w:rPr>
                <w:rFonts w:ascii="Times New Roman" w:eastAsia="Times New Roman" w:hAnsi="Times New Roman" w:cs="Times New Roman"/>
                <w:iCs/>
                <w:sz w:val="24"/>
                <w:szCs w:val="24"/>
                <w:lang w:eastAsia="lv-LV"/>
              </w:rPr>
              <w:t>klient</w:t>
            </w:r>
            <w:r w:rsidR="00DF64D8">
              <w:rPr>
                <w:rFonts w:ascii="Times New Roman" w:eastAsia="Times New Roman" w:hAnsi="Times New Roman" w:cs="Times New Roman"/>
                <w:iCs/>
                <w:sz w:val="24"/>
                <w:szCs w:val="24"/>
                <w:lang w:eastAsia="lv-LV"/>
              </w:rPr>
              <w:t>a</w:t>
            </w:r>
            <w:r w:rsidR="00DF64D8" w:rsidRPr="00473F49">
              <w:rPr>
                <w:rFonts w:ascii="Times New Roman" w:eastAsia="Times New Roman" w:hAnsi="Times New Roman" w:cs="Times New Roman"/>
                <w:iCs/>
                <w:sz w:val="24"/>
                <w:szCs w:val="24"/>
                <w:lang w:eastAsia="lv-LV"/>
              </w:rPr>
              <w:t xml:space="preserve"> </w:t>
            </w:r>
            <w:r w:rsidR="00DF64D8">
              <w:rPr>
                <w:rFonts w:ascii="Times New Roman" w:eastAsia="Times New Roman" w:hAnsi="Times New Roman" w:cs="Times New Roman"/>
                <w:iCs/>
                <w:sz w:val="24"/>
                <w:szCs w:val="24"/>
                <w:lang w:eastAsia="lv-LV"/>
              </w:rPr>
              <w:t xml:space="preserve">personīga piedalīšanās identifikācijas procedūrā </w:t>
            </w:r>
            <w:r w:rsidRPr="00473F49">
              <w:rPr>
                <w:rFonts w:ascii="Times New Roman" w:eastAsia="Times New Roman" w:hAnsi="Times New Roman" w:cs="Times New Roman"/>
                <w:iCs/>
                <w:sz w:val="24"/>
                <w:szCs w:val="24"/>
                <w:lang w:eastAsia="lv-LV"/>
              </w:rPr>
              <w:t>klātienē.</w:t>
            </w:r>
          </w:p>
          <w:p w:rsidR="00CD5478" w:rsidRDefault="00976464" w:rsidP="00CD547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Klienta n</w:t>
            </w:r>
            <w:r w:rsidR="00CD5478" w:rsidRPr="00473F49">
              <w:rPr>
                <w:rFonts w:ascii="Times New Roman" w:eastAsia="Times New Roman" w:hAnsi="Times New Roman" w:cs="Times New Roman"/>
                <w:iCs/>
                <w:sz w:val="24"/>
                <w:szCs w:val="24"/>
                <w:lang w:eastAsia="lv-LV"/>
              </w:rPr>
              <w:t xml:space="preserve">eklātienes identifikācija ir piemērojama visiem </w:t>
            </w:r>
            <w:r>
              <w:rPr>
                <w:rFonts w:ascii="Times New Roman" w:eastAsia="Times New Roman" w:hAnsi="Times New Roman" w:cs="Times New Roman"/>
                <w:iCs/>
                <w:sz w:val="24"/>
                <w:szCs w:val="24"/>
                <w:lang w:eastAsia="lv-LV"/>
              </w:rPr>
              <w:t>NILLTFNL</w:t>
            </w:r>
            <w:r w:rsidRPr="00473F49">
              <w:rPr>
                <w:rFonts w:ascii="Times New Roman" w:eastAsia="Times New Roman" w:hAnsi="Times New Roman" w:cs="Times New Roman"/>
                <w:iCs/>
                <w:sz w:val="24"/>
                <w:szCs w:val="24"/>
                <w:lang w:eastAsia="lv-LV"/>
              </w:rPr>
              <w:t xml:space="preserve"> </w:t>
            </w:r>
            <w:r w:rsidR="00CD5478" w:rsidRPr="00473F49">
              <w:rPr>
                <w:rFonts w:ascii="Times New Roman" w:eastAsia="Times New Roman" w:hAnsi="Times New Roman" w:cs="Times New Roman"/>
                <w:iCs/>
                <w:sz w:val="24"/>
                <w:szCs w:val="24"/>
                <w:lang w:eastAsia="lv-LV"/>
              </w:rPr>
              <w:t xml:space="preserve">subjektiem – kredītiestādēm, finanšu iestādēm un citiem. </w:t>
            </w:r>
            <w:r>
              <w:rPr>
                <w:rFonts w:ascii="Times New Roman" w:eastAsia="Times New Roman" w:hAnsi="Times New Roman" w:cs="Times New Roman"/>
                <w:iCs/>
                <w:sz w:val="24"/>
                <w:szCs w:val="24"/>
                <w:lang w:eastAsia="lv-LV"/>
              </w:rPr>
              <w:t>NILLTFNL</w:t>
            </w:r>
            <w:r w:rsidRPr="00473F49">
              <w:rPr>
                <w:rFonts w:ascii="Times New Roman" w:eastAsia="Times New Roman" w:hAnsi="Times New Roman" w:cs="Times New Roman"/>
                <w:iCs/>
                <w:sz w:val="24"/>
                <w:szCs w:val="24"/>
                <w:lang w:eastAsia="lv-LV"/>
              </w:rPr>
              <w:t xml:space="preserve"> </w:t>
            </w:r>
            <w:r w:rsidR="00CD5478" w:rsidRPr="00473F49">
              <w:rPr>
                <w:rFonts w:ascii="Times New Roman" w:eastAsia="Times New Roman" w:hAnsi="Times New Roman" w:cs="Times New Roman"/>
                <w:iCs/>
                <w:sz w:val="24"/>
                <w:szCs w:val="24"/>
                <w:lang w:eastAsia="lv-LV"/>
              </w:rPr>
              <w:t xml:space="preserve">subjekti, kas piedāvā savus pakalpojumus digitālajā vidē, vistiešāk saskaras ar nepieciešamību identificēt  klientu </w:t>
            </w:r>
            <w:r>
              <w:rPr>
                <w:rFonts w:ascii="Times New Roman" w:eastAsia="Times New Roman" w:hAnsi="Times New Roman" w:cs="Times New Roman"/>
                <w:iCs/>
                <w:sz w:val="24"/>
                <w:szCs w:val="24"/>
                <w:lang w:eastAsia="lv-LV"/>
              </w:rPr>
              <w:t>tam personīgi nepiedaloties identifikācijas procedūrā klātienē</w:t>
            </w:r>
            <w:r w:rsidR="00CD5478" w:rsidRPr="00473F49">
              <w:rPr>
                <w:rFonts w:ascii="Times New Roman" w:eastAsia="Times New Roman" w:hAnsi="Times New Roman" w:cs="Times New Roman"/>
                <w:iCs/>
                <w:sz w:val="24"/>
                <w:szCs w:val="24"/>
                <w:lang w:eastAsia="lv-LV"/>
              </w:rPr>
              <w:t xml:space="preserve">. Digitālās vides pakalpojumu sniedzēji uzņēmumi savus pakalpojumus nodrošina neklātienē, tādēļ arī uzņēmuma klienti nereti atrodas lielā ģeogrāfiskajā attālumā no pakalpojuma sniedzēja. Šādu klientu identificēšana klātienē bieži vien nav iespējama vai ir ļoti apgrūtināta. </w:t>
            </w:r>
            <w:r w:rsidR="00564E90">
              <w:rPr>
                <w:rFonts w:ascii="Times New Roman" w:eastAsia="Times New Roman" w:hAnsi="Times New Roman" w:cs="Times New Roman"/>
                <w:iCs/>
                <w:sz w:val="24"/>
                <w:szCs w:val="24"/>
                <w:lang w:eastAsia="lv-LV"/>
              </w:rPr>
              <w:t>Klienta n</w:t>
            </w:r>
            <w:r w:rsidR="00CD5478" w:rsidRPr="00473F49">
              <w:rPr>
                <w:rFonts w:ascii="Times New Roman" w:eastAsia="Times New Roman" w:hAnsi="Times New Roman" w:cs="Times New Roman"/>
                <w:iCs/>
                <w:sz w:val="24"/>
                <w:szCs w:val="24"/>
                <w:lang w:eastAsia="lv-LV"/>
              </w:rPr>
              <w:t xml:space="preserve">eklātienes identifikācijas izmantošana digitālo pakalpojumu sniedzējiem dod iespēju ātri un efektīvi uzsākt sadarbību ar klientu un sniegt tam savus pakalpojumus. Pie šādiem digitālo pakalpojumu sniedzējiem uzņēmumiem pieskaitāmas gan </w:t>
            </w:r>
            <w:proofErr w:type="spellStart"/>
            <w:r w:rsidR="00CD5478" w:rsidRPr="00473F49">
              <w:rPr>
                <w:rFonts w:ascii="Times New Roman" w:eastAsia="Times New Roman" w:hAnsi="Times New Roman" w:cs="Times New Roman"/>
                <w:iCs/>
                <w:sz w:val="24"/>
                <w:szCs w:val="24"/>
                <w:lang w:eastAsia="lv-LV"/>
              </w:rPr>
              <w:t>kopfinansējuma</w:t>
            </w:r>
            <w:proofErr w:type="spellEnd"/>
            <w:r w:rsidR="00CD5478" w:rsidRPr="00473F49">
              <w:rPr>
                <w:rFonts w:ascii="Times New Roman" w:eastAsia="Times New Roman" w:hAnsi="Times New Roman" w:cs="Times New Roman"/>
                <w:iCs/>
                <w:sz w:val="24"/>
                <w:szCs w:val="24"/>
                <w:lang w:eastAsia="lv-LV"/>
              </w:rPr>
              <w:t xml:space="preserve"> un savstarpējo aizdevumu platformas, gan citi uzņēmumi, kas cit</w:t>
            </w:r>
            <w:r w:rsidR="00E04B4A" w:rsidRPr="00473F49">
              <w:rPr>
                <w:rFonts w:ascii="Times New Roman" w:eastAsia="Times New Roman" w:hAnsi="Times New Roman" w:cs="Times New Roman"/>
                <w:iCs/>
                <w:sz w:val="24"/>
                <w:szCs w:val="24"/>
                <w:lang w:eastAsia="lv-LV"/>
              </w:rPr>
              <w:t xml:space="preserve">a </w:t>
            </w:r>
            <w:r w:rsidR="00CD5478" w:rsidRPr="00473F49">
              <w:rPr>
                <w:rFonts w:ascii="Times New Roman" w:eastAsia="Times New Roman" w:hAnsi="Times New Roman" w:cs="Times New Roman"/>
                <w:iCs/>
                <w:sz w:val="24"/>
                <w:szCs w:val="24"/>
                <w:lang w:eastAsia="lv-LV"/>
              </w:rPr>
              <w:t xml:space="preserve">starpā nodrošina elektroniskos/mobilos maksājumus. </w:t>
            </w:r>
          </w:p>
          <w:p w:rsidR="00A277D8" w:rsidRPr="00473F49" w:rsidRDefault="00A277D8" w:rsidP="00CD5478">
            <w:pPr>
              <w:spacing w:after="0" w:line="240" w:lineRule="auto"/>
              <w:jc w:val="both"/>
              <w:rPr>
                <w:rFonts w:ascii="Times New Roman" w:eastAsia="Times New Roman" w:hAnsi="Times New Roman" w:cs="Times New Roman"/>
                <w:iCs/>
                <w:sz w:val="24"/>
                <w:szCs w:val="24"/>
                <w:lang w:eastAsia="lv-LV"/>
              </w:rPr>
            </w:pPr>
          </w:p>
          <w:p w:rsidR="007E1242" w:rsidRPr="00473F49" w:rsidRDefault="00CD5478" w:rsidP="007E1242">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Arī tradicionālie pakalpojumu sniedzēji – kredītiestādes, </w:t>
            </w:r>
            <w:proofErr w:type="spellStart"/>
            <w:r w:rsidRPr="00473F49">
              <w:rPr>
                <w:rFonts w:ascii="Times New Roman" w:eastAsia="Times New Roman" w:hAnsi="Times New Roman" w:cs="Times New Roman"/>
                <w:iCs/>
                <w:sz w:val="24"/>
                <w:szCs w:val="24"/>
                <w:lang w:eastAsia="lv-LV"/>
              </w:rPr>
              <w:t>nebanku</w:t>
            </w:r>
            <w:proofErr w:type="spellEnd"/>
            <w:r w:rsidRPr="00473F49">
              <w:rPr>
                <w:rFonts w:ascii="Times New Roman" w:eastAsia="Times New Roman" w:hAnsi="Times New Roman" w:cs="Times New Roman"/>
                <w:iCs/>
                <w:sz w:val="24"/>
                <w:szCs w:val="24"/>
                <w:lang w:eastAsia="lv-LV"/>
              </w:rPr>
              <w:t xml:space="preserve"> kreditētāji un citas finanšu iestādes saskata nepieciešamību veikt klientu neklātienes identifikāciju to ģeogrāfiskās atrašanās vietas vai ātrākas pakalpojumu sniegšanas dēļ. Ņemot vērā minēto, neklātienes identifikācija ir nepieciešama visiem </w:t>
            </w:r>
            <w:r w:rsidR="00564E90">
              <w:rPr>
                <w:rFonts w:ascii="Times New Roman" w:eastAsia="Times New Roman" w:hAnsi="Times New Roman" w:cs="Times New Roman"/>
                <w:iCs/>
                <w:sz w:val="24"/>
                <w:szCs w:val="24"/>
                <w:lang w:eastAsia="lv-LV"/>
              </w:rPr>
              <w:t>NILLTFNL</w:t>
            </w:r>
            <w:r w:rsidR="00564E90"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subjektiem.</w:t>
            </w:r>
          </w:p>
          <w:p w:rsidR="007E1242" w:rsidRPr="00473F49" w:rsidRDefault="007E1242" w:rsidP="007E1242">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MK noteikumu projekts ietver tehnoloģiski neitrālus neklātienes identifikācijas veidus, kas pieejami visiem </w:t>
            </w:r>
            <w:r w:rsidR="0028322D">
              <w:rPr>
                <w:rFonts w:ascii="Times New Roman" w:eastAsia="Times New Roman" w:hAnsi="Times New Roman" w:cs="Times New Roman"/>
                <w:iCs/>
                <w:sz w:val="24"/>
                <w:szCs w:val="24"/>
                <w:lang w:eastAsia="lv-LV"/>
              </w:rPr>
              <w:t>NILLTFNL</w:t>
            </w:r>
            <w:r w:rsidR="0028322D"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subjektiem. Tajos noteikta ne tikai </w:t>
            </w:r>
            <w:proofErr w:type="spellStart"/>
            <w:r w:rsidRPr="00473F49">
              <w:rPr>
                <w:rFonts w:ascii="Times New Roman" w:eastAsia="Times New Roman" w:hAnsi="Times New Roman" w:cs="Times New Roman"/>
                <w:iCs/>
                <w:sz w:val="24"/>
                <w:szCs w:val="24"/>
                <w:lang w:eastAsia="lv-LV"/>
              </w:rPr>
              <w:t>videoidentifikācijas</w:t>
            </w:r>
            <w:proofErr w:type="spellEnd"/>
            <w:r w:rsidRPr="00473F49">
              <w:rPr>
                <w:rFonts w:ascii="Times New Roman" w:eastAsia="Times New Roman" w:hAnsi="Times New Roman" w:cs="Times New Roman"/>
                <w:iCs/>
                <w:sz w:val="24"/>
                <w:szCs w:val="24"/>
                <w:lang w:eastAsia="lv-LV"/>
              </w:rPr>
              <w:t xml:space="preserve"> un elektroniskā paraksta izmantošana, bet arī fiziskas personas identitāti apliecinošu datu iegūšana no kredītiestādes vai </w:t>
            </w:r>
            <w:r w:rsidRPr="00473F49">
              <w:rPr>
                <w:rFonts w:ascii="Times New Roman" w:eastAsia="Times New Roman" w:hAnsi="Times New Roman" w:cs="Times New Roman"/>
                <w:iCs/>
                <w:sz w:val="24"/>
                <w:szCs w:val="24"/>
                <w:lang w:eastAsia="lv-LV"/>
              </w:rPr>
              <w:lastRenderedPageBreak/>
              <w:t xml:space="preserve">maksājumu iestādes, kā arī pašportreta un dokumentu fotouzņēmumu izmantošana. </w:t>
            </w:r>
          </w:p>
          <w:p w:rsidR="007E1242" w:rsidRPr="00473F49" w:rsidRDefault="007E1242" w:rsidP="007E1242">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Veicot fiziskas personas identitāti apliecinošu datu iegūšanu no kredītiestādes vai maksājumu iestādes,  </w:t>
            </w:r>
            <w:r w:rsidR="0028322D">
              <w:rPr>
                <w:rFonts w:ascii="Times New Roman" w:eastAsia="Times New Roman" w:hAnsi="Times New Roman" w:cs="Times New Roman"/>
                <w:iCs/>
                <w:sz w:val="24"/>
                <w:szCs w:val="24"/>
                <w:lang w:eastAsia="lv-LV"/>
              </w:rPr>
              <w:t>NILLTFNL</w:t>
            </w:r>
            <w:r w:rsidR="0028322D"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subjekts ir tiesīgs izmantot identifikācijas maksājumu</w:t>
            </w:r>
            <w:r w:rsidR="003F2249">
              <w:rPr>
                <w:rFonts w:ascii="Times New Roman" w:eastAsia="Times New Roman" w:hAnsi="Times New Roman" w:cs="Times New Roman"/>
                <w:iCs/>
                <w:sz w:val="24"/>
                <w:szCs w:val="24"/>
                <w:lang w:eastAsia="lv-LV"/>
              </w:rPr>
              <w:t xml:space="preserve"> (NILLTFNL 23.panta pirmās daļas 3.punkta izpratnē)</w:t>
            </w:r>
            <w:r w:rsidRPr="00473F49">
              <w:rPr>
                <w:rFonts w:ascii="Times New Roman" w:eastAsia="Times New Roman" w:hAnsi="Times New Roman" w:cs="Times New Roman"/>
                <w:iCs/>
                <w:sz w:val="24"/>
                <w:szCs w:val="24"/>
                <w:lang w:eastAsia="lv-LV"/>
              </w:rPr>
              <w:t xml:space="preserve"> vai citus tehnoloģiskus risinājumus. </w:t>
            </w:r>
          </w:p>
          <w:p w:rsidR="007E1242" w:rsidRPr="00473F49" w:rsidRDefault="007E1242" w:rsidP="007E1242">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Tomēr, lai izvairītos no papildu NILLTF riska (piemēram, maksājuma kontu atvēršana citās kredītiestādēs vai maksājuma iestādēs) MK noteikumos ir paredzēti vairāki ierobežojumi fiziskās personas datu iegūšanai no kredītiestādes. Tai skaitā</w:t>
            </w:r>
            <w:r w:rsidR="006233B3" w:rsidRPr="00473F49">
              <w:rPr>
                <w:rFonts w:ascii="Times New Roman" w:eastAsia="Times New Roman" w:hAnsi="Times New Roman" w:cs="Times New Roman"/>
                <w:iCs/>
                <w:sz w:val="24"/>
                <w:szCs w:val="24"/>
                <w:lang w:eastAsia="lv-LV"/>
              </w:rPr>
              <w:t>,</w:t>
            </w:r>
            <w:r w:rsidRPr="00473F49">
              <w:rPr>
                <w:rFonts w:ascii="Times New Roman" w:eastAsia="Times New Roman" w:hAnsi="Times New Roman" w:cs="Times New Roman"/>
                <w:iCs/>
                <w:sz w:val="24"/>
                <w:szCs w:val="24"/>
                <w:lang w:eastAsia="lv-LV"/>
              </w:rPr>
              <w:t xml:space="preserve"> aizliegts minēto identifikācijas veidu izmantot gadījumā, ja tiek identificēts klients maksājumu pakalpojumu sniedzēja uzturēta konta atvēršanai, maksājumu kartes vai cita veida maksāšanas līdzekļa nodrošināšanai, ar kuru ir iespējams tālāk veikt </w:t>
            </w:r>
            <w:r w:rsidR="004C4714">
              <w:rPr>
                <w:rFonts w:ascii="Times New Roman" w:eastAsia="Times New Roman" w:hAnsi="Times New Roman" w:cs="Times New Roman"/>
                <w:iCs/>
                <w:sz w:val="24"/>
                <w:szCs w:val="24"/>
                <w:lang w:eastAsia="lv-LV"/>
              </w:rPr>
              <w:t>klienta</w:t>
            </w:r>
            <w:r w:rsidR="004C4714"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neklātienes identifikāciju, iegūstot personas datus no kredītiestādes vai maksājuma iestādes.</w:t>
            </w:r>
          </w:p>
          <w:p w:rsidR="007E1242" w:rsidRPr="00473F49" w:rsidRDefault="00595A05" w:rsidP="007E1242">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MK noteikumu projekts</w:t>
            </w:r>
            <w:r w:rsidR="007E1242" w:rsidRPr="00473F49">
              <w:rPr>
                <w:rFonts w:ascii="Times New Roman" w:eastAsia="Times New Roman" w:hAnsi="Times New Roman" w:cs="Times New Roman"/>
                <w:iCs/>
                <w:sz w:val="24"/>
                <w:szCs w:val="24"/>
                <w:lang w:eastAsia="lv-LV"/>
              </w:rPr>
              <w:t xml:space="preserve"> noteic klienta– </w:t>
            </w:r>
            <w:r w:rsidR="004C4714">
              <w:rPr>
                <w:rFonts w:ascii="Times New Roman" w:eastAsia="Times New Roman" w:hAnsi="Times New Roman" w:cs="Times New Roman"/>
                <w:iCs/>
                <w:sz w:val="24"/>
                <w:szCs w:val="24"/>
                <w:lang w:eastAsia="lv-LV"/>
              </w:rPr>
              <w:t xml:space="preserve"> NILLTFNL izpratnē, juridiskas personas gadījumā fiziskā persona, kurai dotas pārstāvības tiesības</w:t>
            </w:r>
            <w:r w:rsidR="0005645E" w:rsidRPr="00473F49">
              <w:rPr>
                <w:rFonts w:ascii="Times New Roman" w:eastAsia="Times New Roman" w:hAnsi="Times New Roman" w:cs="Times New Roman"/>
                <w:iCs/>
                <w:sz w:val="24"/>
                <w:szCs w:val="24"/>
                <w:lang w:eastAsia="lv-LV"/>
              </w:rPr>
              <w:t xml:space="preserve">, kas ir </w:t>
            </w:r>
            <w:r w:rsidR="007E1242" w:rsidRPr="00473F49">
              <w:rPr>
                <w:rFonts w:ascii="Times New Roman" w:eastAsia="Times New Roman" w:hAnsi="Times New Roman" w:cs="Times New Roman"/>
                <w:iCs/>
                <w:sz w:val="24"/>
                <w:szCs w:val="24"/>
                <w:lang w:eastAsia="lv-LV"/>
              </w:rPr>
              <w:t>fiziska persona</w:t>
            </w:r>
            <w:r w:rsidR="004C4714">
              <w:rPr>
                <w:rFonts w:ascii="Times New Roman" w:eastAsia="Times New Roman" w:hAnsi="Times New Roman" w:cs="Times New Roman"/>
                <w:iCs/>
                <w:sz w:val="24"/>
                <w:szCs w:val="24"/>
                <w:lang w:eastAsia="lv-LV"/>
              </w:rPr>
              <w:t>,</w:t>
            </w:r>
            <w:r w:rsidR="007E1242" w:rsidRPr="00473F49">
              <w:rPr>
                <w:rFonts w:ascii="Times New Roman" w:eastAsia="Times New Roman" w:hAnsi="Times New Roman" w:cs="Times New Roman"/>
                <w:iCs/>
                <w:sz w:val="24"/>
                <w:szCs w:val="24"/>
                <w:lang w:eastAsia="lv-LV"/>
              </w:rPr>
              <w:t xml:space="preserve"> neklātienes identifikāciju. </w:t>
            </w:r>
          </w:p>
          <w:p w:rsidR="00361C84" w:rsidRPr="00473F49" w:rsidRDefault="007E1242" w:rsidP="00361C84">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Juridiskas personas identifikācija, pārbaudot tās dibināšanas un reģistrēšanas dokumentus un veicot citas NILLTFNL noteiktās darbības MK noteikum</w:t>
            </w:r>
            <w:r w:rsidR="00595A05" w:rsidRPr="00473F49">
              <w:rPr>
                <w:rFonts w:ascii="Times New Roman" w:eastAsia="Times New Roman" w:hAnsi="Times New Roman" w:cs="Times New Roman"/>
                <w:iCs/>
                <w:sz w:val="24"/>
                <w:szCs w:val="24"/>
                <w:lang w:eastAsia="lv-LV"/>
              </w:rPr>
              <w:t>u projektā</w:t>
            </w:r>
            <w:r w:rsidRPr="00473F49">
              <w:rPr>
                <w:rFonts w:ascii="Times New Roman" w:eastAsia="Times New Roman" w:hAnsi="Times New Roman" w:cs="Times New Roman"/>
                <w:iCs/>
                <w:sz w:val="24"/>
                <w:szCs w:val="24"/>
                <w:lang w:eastAsia="lv-LV"/>
              </w:rPr>
              <w:t xml:space="preserve"> nav atrunāta</w:t>
            </w:r>
            <w:r w:rsidR="004C4714">
              <w:rPr>
                <w:rFonts w:ascii="Times New Roman" w:eastAsia="Times New Roman" w:hAnsi="Times New Roman" w:cs="Times New Roman"/>
                <w:iCs/>
                <w:sz w:val="24"/>
                <w:szCs w:val="24"/>
                <w:lang w:eastAsia="lv-LV"/>
              </w:rPr>
              <w:t xml:space="preserve"> (notiek atbilstoši piemērojot NILTLFNL 13.pantu)</w:t>
            </w:r>
            <w:r w:rsidRPr="00473F49">
              <w:rPr>
                <w:rFonts w:ascii="Times New Roman" w:eastAsia="Times New Roman" w:hAnsi="Times New Roman" w:cs="Times New Roman"/>
                <w:iCs/>
                <w:sz w:val="24"/>
                <w:szCs w:val="24"/>
                <w:lang w:eastAsia="lv-LV"/>
              </w:rPr>
              <w:t xml:space="preserve">. Tomēr minētos dokumentus </w:t>
            </w:r>
            <w:r w:rsidR="004C4714">
              <w:rPr>
                <w:rFonts w:ascii="Times New Roman" w:eastAsia="Times New Roman" w:hAnsi="Times New Roman" w:cs="Times New Roman"/>
                <w:iCs/>
                <w:sz w:val="24"/>
                <w:szCs w:val="24"/>
                <w:lang w:eastAsia="lv-LV"/>
              </w:rPr>
              <w:t>NILLTFNL</w:t>
            </w:r>
            <w:r w:rsidR="004C4714"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subjekts ir tiesīgs saņemt arī neklātienē, ja vien tam ir iespēja pārliecināties, ka iegūtie dokumenti ir atbilstoši un nesatur viltojumu.</w:t>
            </w:r>
          </w:p>
          <w:p w:rsidR="00361C84" w:rsidRPr="00473F49" w:rsidRDefault="00361C84" w:rsidP="00361C84">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Jau pieņemot NILLTFNL, likumdevējs ir noteicis, ka  </w:t>
            </w:r>
            <w:r w:rsidR="004E4098">
              <w:rPr>
                <w:rFonts w:ascii="Times New Roman" w:eastAsia="Times New Roman" w:hAnsi="Times New Roman" w:cs="Times New Roman"/>
                <w:iCs/>
                <w:sz w:val="24"/>
                <w:szCs w:val="24"/>
                <w:lang w:eastAsia="lv-LV"/>
              </w:rPr>
              <w:t>n</w:t>
            </w:r>
            <w:r w:rsidR="004E4098" w:rsidRPr="00473F49">
              <w:rPr>
                <w:rFonts w:ascii="Times New Roman" w:eastAsia="Times New Roman" w:hAnsi="Times New Roman" w:cs="Times New Roman"/>
                <w:iCs/>
                <w:sz w:val="24"/>
                <w:szCs w:val="24"/>
                <w:lang w:eastAsia="lv-LV"/>
              </w:rPr>
              <w:t>oziedzīgi iegūtu līdzekļu legalizācijas un terorisma finansēšanas novēršanas</w:t>
            </w:r>
            <w:r w:rsidR="004E4098">
              <w:rPr>
                <w:rFonts w:ascii="Times New Roman" w:eastAsia="Times New Roman" w:hAnsi="Times New Roman" w:cs="Times New Roman"/>
                <w:iCs/>
                <w:sz w:val="24"/>
                <w:szCs w:val="24"/>
                <w:lang w:eastAsia="lv-LV"/>
              </w:rPr>
              <w:t xml:space="preserve"> ( turpmāk – </w:t>
            </w:r>
            <w:r w:rsidRPr="00473F49">
              <w:rPr>
                <w:rFonts w:ascii="Times New Roman" w:eastAsia="Times New Roman" w:hAnsi="Times New Roman" w:cs="Times New Roman"/>
                <w:iCs/>
                <w:sz w:val="24"/>
                <w:szCs w:val="24"/>
                <w:lang w:eastAsia="lv-LV"/>
              </w:rPr>
              <w:t>NILLTFN</w:t>
            </w:r>
            <w:r w:rsidR="004E4098">
              <w:rPr>
                <w:rFonts w:ascii="Times New Roman" w:eastAsia="Times New Roman" w:hAnsi="Times New Roman" w:cs="Times New Roman"/>
                <w:iCs/>
                <w:sz w:val="24"/>
                <w:szCs w:val="24"/>
                <w:lang w:eastAsia="lv-LV"/>
              </w:rPr>
              <w:t>)</w:t>
            </w:r>
            <w:r w:rsidRPr="00473F49">
              <w:rPr>
                <w:rFonts w:ascii="Times New Roman" w:eastAsia="Times New Roman" w:hAnsi="Times New Roman" w:cs="Times New Roman"/>
                <w:iCs/>
                <w:sz w:val="24"/>
                <w:szCs w:val="24"/>
                <w:lang w:eastAsia="lv-LV"/>
              </w:rPr>
              <w:t xml:space="preserve"> procedūru izvēlē </w:t>
            </w:r>
            <w:r w:rsidR="004E4098">
              <w:rPr>
                <w:rFonts w:ascii="Times New Roman" w:eastAsia="Times New Roman" w:hAnsi="Times New Roman" w:cs="Times New Roman"/>
                <w:iCs/>
                <w:sz w:val="24"/>
                <w:szCs w:val="24"/>
                <w:lang w:eastAsia="lv-LV"/>
              </w:rPr>
              <w:t>NILLTFNL</w:t>
            </w:r>
            <w:r w:rsidR="004E4098"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subjekts izmanto uz risku balstītu pieeju, proti, NILLTFN procedūras jāpiemēro atbilstoši </w:t>
            </w:r>
            <w:r w:rsidR="004E4098">
              <w:rPr>
                <w:rFonts w:ascii="Times New Roman" w:eastAsia="Times New Roman" w:hAnsi="Times New Roman" w:cs="Times New Roman"/>
                <w:iCs/>
                <w:sz w:val="24"/>
                <w:szCs w:val="24"/>
                <w:lang w:eastAsia="lv-LV"/>
              </w:rPr>
              <w:t>NILLTFNL</w:t>
            </w:r>
            <w:r w:rsidR="004E4098"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subjekta sniegto pakalpojumu  un tā klientu NILLTF riska līmenim. Tā rezultātā </w:t>
            </w:r>
            <w:r w:rsidR="004E4098">
              <w:rPr>
                <w:rFonts w:ascii="Times New Roman" w:eastAsia="Times New Roman" w:hAnsi="Times New Roman" w:cs="Times New Roman"/>
                <w:iCs/>
                <w:sz w:val="24"/>
                <w:szCs w:val="24"/>
                <w:lang w:eastAsia="lv-LV"/>
              </w:rPr>
              <w:t>NILTLFNL</w:t>
            </w:r>
            <w:r w:rsidR="004E4098"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subjektam ir iespējams arī izvēlēties metodes un procedūras, kas pielietojamas, lai identificētu klientus. </w:t>
            </w:r>
          </w:p>
          <w:p w:rsidR="00361C84" w:rsidRPr="00473F49" w:rsidRDefault="00361C84" w:rsidP="00361C84">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Arī MK noteikumu projektā paredzētas </w:t>
            </w:r>
            <w:r w:rsidR="00C115B9">
              <w:rPr>
                <w:rFonts w:ascii="Times New Roman" w:eastAsia="Times New Roman" w:hAnsi="Times New Roman" w:cs="Times New Roman"/>
                <w:iCs/>
                <w:sz w:val="24"/>
                <w:szCs w:val="24"/>
                <w:lang w:eastAsia="lv-LV"/>
              </w:rPr>
              <w:t>NILLTFNL</w:t>
            </w:r>
            <w:r w:rsidR="00C115B9"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subjektu tiesības izv</w:t>
            </w:r>
            <w:r w:rsidR="0005645E" w:rsidRPr="00473F49">
              <w:rPr>
                <w:rFonts w:ascii="Times New Roman" w:eastAsia="Times New Roman" w:hAnsi="Times New Roman" w:cs="Times New Roman"/>
                <w:iCs/>
                <w:sz w:val="24"/>
                <w:szCs w:val="24"/>
                <w:lang w:eastAsia="lv-LV"/>
              </w:rPr>
              <w:t>ē</w:t>
            </w:r>
            <w:r w:rsidRPr="00473F49">
              <w:rPr>
                <w:rFonts w:ascii="Times New Roman" w:eastAsia="Times New Roman" w:hAnsi="Times New Roman" w:cs="Times New Roman"/>
                <w:iCs/>
                <w:sz w:val="24"/>
                <w:szCs w:val="24"/>
                <w:lang w:eastAsia="lv-LV"/>
              </w:rPr>
              <w:t xml:space="preserve">lēties klientam piemērojamo neklātienes identifikācijas metodi atbilstoši </w:t>
            </w:r>
            <w:r w:rsidR="00C115B9">
              <w:rPr>
                <w:rFonts w:ascii="Times New Roman" w:eastAsia="Times New Roman" w:hAnsi="Times New Roman" w:cs="Times New Roman"/>
                <w:iCs/>
                <w:sz w:val="24"/>
                <w:szCs w:val="24"/>
                <w:lang w:eastAsia="lv-LV"/>
              </w:rPr>
              <w:t>NILTLFNL</w:t>
            </w:r>
            <w:r w:rsidR="00C115B9"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subjekta NILLTF riska novērtējumam. Tād</w:t>
            </w:r>
            <w:r w:rsidR="0005645E" w:rsidRPr="00473F49">
              <w:rPr>
                <w:rFonts w:ascii="Times New Roman" w:eastAsia="Times New Roman" w:hAnsi="Times New Roman" w:cs="Times New Roman"/>
                <w:iCs/>
                <w:sz w:val="24"/>
                <w:szCs w:val="24"/>
                <w:lang w:eastAsia="lv-LV"/>
              </w:rPr>
              <w:t>ē</w:t>
            </w:r>
            <w:r w:rsidRPr="00473F49">
              <w:rPr>
                <w:rFonts w:ascii="Times New Roman" w:eastAsia="Times New Roman" w:hAnsi="Times New Roman" w:cs="Times New Roman"/>
                <w:iCs/>
                <w:sz w:val="24"/>
                <w:szCs w:val="24"/>
                <w:lang w:eastAsia="lv-LV"/>
              </w:rPr>
              <w:t xml:space="preserve">jādi katram </w:t>
            </w:r>
            <w:r w:rsidR="00FB758D">
              <w:rPr>
                <w:rFonts w:ascii="Times New Roman" w:eastAsia="Times New Roman" w:hAnsi="Times New Roman" w:cs="Times New Roman"/>
                <w:iCs/>
                <w:sz w:val="24"/>
                <w:szCs w:val="24"/>
                <w:lang w:eastAsia="lv-LV"/>
              </w:rPr>
              <w:t>NILLTFNL</w:t>
            </w:r>
            <w:r w:rsidR="00FB758D"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subjektam dotas iespējas pašam izvērtēt, kurš neklātienes identifikācijas veids tam būtu vispiemērotākais. Turklāt, sagaidāms, ka dažādām klientu kategorijām varētu būt piemēroti dažādi </w:t>
            </w:r>
            <w:r w:rsidR="00FB758D">
              <w:rPr>
                <w:rFonts w:ascii="Times New Roman" w:eastAsia="Times New Roman" w:hAnsi="Times New Roman" w:cs="Times New Roman"/>
                <w:iCs/>
                <w:sz w:val="24"/>
                <w:szCs w:val="24"/>
                <w:lang w:eastAsia="lv-LV"/>
              </w:rPr>
              <w:t xml:space="preserve">klienta </w:t>
            </w:r>
            <w:r w:rsidRPr="00473F49">
              <w:rPr>
                <w:rFonts w:ascii="Times New Roman" w:eastAsia="Times New Roman" w:hAnsi="Times New Roman" w:cs="Times New Roman"/>
                <w:iCs/>
                <w:sz w:val="24"/>
                <w:szCs w:val="24"/>
                <w:lang w:eastAsia="lv-LV"/>
              </w:rPr>
              <w:t>neklātienes identifikācijas veidi.</w:t>
            </w:r>
          </w:p>
          <w:p w:rsidR="00B37FF2" w:rsidRDefault="00361C84" w:rsidP="00B37FF2">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lastRenderedPageBreak/>
              <w:t xml:space="preserve">Ņemot vērā minēto, katram </w:t>
            </w:r>
            <w:r w:rsidR="00FB758D">
              <w:rPr>
                <w:rFonts w:ascii="Times New Roman" w:eastAsia="Times New Roman" w:hAnsi="Times New Roman" w:cs="Times New Roman"/>
                <w:iCs/>
                <w:sz w:val="24"/>
                <w:szCs w:val="24"/>
                <w:lang w:eastAsia="lv-LV"/>
              </w:rPr>
              <w:t>NILTFNL</w:t>
            </w:r>
            <w:r w:rsidR="00FB758D"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subjektam iesa</w:t>
            </w:r>
            <w:r w:rsidR="0005645E" w:rsidRPr="00473F49">
              <w:rPr>
                <w:rFonts w:ascii="Times New Roman" w:eastAsia="Times New Roman" w:hAnsi="Times New Roman" w:cs="Times New Roman"/>
                <w:iCs/>
                <w:sz w:val="24"/>
                <w:szCs w:val="24"/>
                <w:lang w:eastAsia="lv-LV"/>
              </w:rPr>
              <w:t>kāms NILLTF risku novērtējumā, iekšējās kontroles sistēmas</w:t>
            </w:r>
            <w:r w:rsidR="00017A7D">
              <w:rPr>
                <w:rFonts w:ascii="Times New Roman" w:eastAsia="Times New Roman" w:hAnsi="Times New Roman" w:cs="Times New Roman"/>
                <w:iCs/>
                <w:sz w:val="24"/>
                <w:szCs w:val="24"/>
                <w:lang w:eastAsia="lv-LV"/>
              </w:rPr>
              <w:t xml:space="preserve"> </w:t>
            </w:r>
            <w:r w:rsidR="0005645E" w:rsidRPr="00473F49">
              <w:rPr>
                <w:rFonts w:ascii="Times New Roman" w:eastAsia="Times New Roman" w:hAnsi="Times New Roman" w:cs="Times New Roman"/>
                <w:iCs/>
                <w:sz w:val="24"/>
                <w:szCs w:val="24"/>
                <w:lang w:eastAsia="lv-LV"/>
              </w:rPr>
              <w:t>apraksta</w:t>
            </w:r>
            <w:r w:rsidRPr="00473F49">
              <w:rPr>
                <w:rFonts w:ascii="Times New Roman" w:eastAsia="Times New Roman" w:hAnsi="Times New Roman" w:cs="Times New Roman"/>
                <w:iCs/>
                <w:sz w:val="24"/>
                <w:szCs w:val="24"/>
                <w:lang w:eastAsia="lv-LV"/>
              </w:rPr>
              <w:t xml:space="preserve"> vai citā dokumentā noteikt, kādi ir kritēriji konkrētā neklātienes identifikācijas veida izvēlei.</w:t>
            </w:r>
          </w:p>
          <w:p w:rsidR="00361C84" w:rsidRPr="00473F49" w:rsidRDefault="00B37FF2" w:rsidP="00690EB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MK noteikumu projekta 8.punktam  - NILLTFNL</w:t>
            </w:r>
            <w:r w:rsidRPr="00690EB9">
              <w:rPr>
                <w:rFonts w:ascii="Times New Roman" w:eastAsia="Times New Roman" w:hAnsi="Times New Roman" w:cs="Times New Roman"/>
                <w:iCs/>
                <w:sz w:val="24"/>
                <w:szCs w:val="24"/>
                <w:lang w:eastAsia="lv-LV"/>
              </w:rPr>
              <w:t xml:space="preserve"> subjekts risku pārvaldības ietvaros pastāvīgi veic izmantotā tehnoloģiskā risinājuma drošības pārvaldību, ņemot vērā aktuālās risinājumu ievainojamības un </w:t>
            </w:r>
            <w:proofErr w:type="spellStart"/>
            <w:r w:rsidRPr="00690EB9">
              <w:rPr>
                <w:rFonts w:ascii="Times New Roman" w:eastAsia="Times New Roman" w:hAnsi="Times New Roman" w:cs="Times New Roman"/>
                <w:iCs/>
                <w:sz w:val="24"/>
                <w:szCs w:val="24"/>
                <w:lang w:eastAsia="lv-LV"/>
              </w:rPr>
              <w:t>krāpniecības</w:t>
            </w:r>
            <w:proofErr w:type="spellEnd"/>
            <w:r w:rsidRPr="00690EB9">
              <w:rPr>
                <w:rFonts w:ascii="Times New Roman" w:eastAsia="Times New Roman" w:hAnsi="Times New Roman" w:cs="Times New Roman"/>
                <w:iCs/>
                <w:sz w:val="24"/>
                <w:szCs w:val="24"/>
                <w:lang w:eastAsia="lv-LV"/>
              </w:rPr>
              <w:t xml:space="preserve"> scenārijus. Risku līmeņa samazināšanai var lietot ne tikai tiešās, bet arī kompensējošās kontroles (tajā skaitā, vairāku 7.punktā minēto risinājumu vienlaicīgu izmantošanu, personas digitālās uzvedības analizēšanu</w:t>
            </w:r>
            <w:r>
              <w:rPr>
                <w:rFonts w:ascii="Times New Roman" w:eastAsia="Times New Roman" w:hAnsi="Times New Roman" w:cs="Times New Roman"/>
                <w:iCs/>
                <w:sz w:val="24"/>
                <w:szCs w:val="24"/>
                <w:lang w:eastAsia="lv-LV"/>
              </w:rPr>
              <w:t xml:space="preserve"> (</w:t>
            </w:r>
            <w:r w:rsidRPr="00690EB9">
              <w:rPr>
                <w:rFonts w:ascii="Times New Roman" w:eastAsia="Times New Roman" w:hAnsi="Times New Roman" w:cs="Times New Roman"/>
                <w:iCs/>
                <w:sz w:val="24"/>
                <w:szCs w:val="24"/>
                <w:lang w:eastAsia="lv-LV"/>
              </w:rPr>
              <w:t>Personas digitālo uzvedību raksturo personas darbības digitālajā vidē saistībā ar konkrēto pakalpojumu</w:t>
            </w:r>
            <w:r>
              <w:rPr>
                <w:rFonts w:ascii="Times New Roman" w:eastAsia="Times New Roman" w:hAnsi="Times New Roman" w:cs="Times New Roman"/>
                <w:iCs/>
                <w:sz w:val="24"/>
                <w:szCs w:val="24"/>
                <w:lang w:eastAsia="lv-LV"/>
              </w:rPr>
              <w:t xml:space="preserve"> piemēram</w:t>
            </w:r>
            <w:r w:rsidRPr="00690EB9">
              <w:rPr>
                <w:rFonts w:ascii="Times New Roman" w:eastAsia="Times New Roman" w:hAnsi="Times New Roman" w:cs="Times New Roman"/>
                <w:iCs/>
                <w:sz w:val="24"/>
                <w:szCs w:val="24"/>
                <w:lang w:eastAsia="lv-LV"/>
              </w:rPr>
              <w:t>, personas autentificēšan</w:t>
            </w:r>
            <w:r>
              <w:rPr>
                <w:rFonts w:ascii="Times New Roman" w:eastAsia="Times New Roman" w:hAnsi="Times New Roman" w:cs="Times New Roman"/>
                <w:iCs/>
                <w:sz w:val="24"/>
                <w:szCs w:val="24"/>
                <w:lang w:eastAsia="lv-LV"/>
              </w:rPr>
              <w:t>ās</w:t>
            </w:r>
            <w:r w:rsidRPr="00690EB9">
              <w:rPr>
                <w:rFonts w:ascii="Times New Roman" w:eastAsia="Times New Roman" w:hAnsi="Times New Roman" w:cs="Times New Roman"/>
                <w:iCs/>
                <w:sz w:val="24"/>
                <w:szCs w:val="24"/>
                <w:lang w:eastAsia="lv-LV"/>
              </w:rPr>
              <w:t xml:space="preserve"> savā profilā (biežums,  ierīces no kurām veikta autentifikācija, IP adrese, IP adrešu </w:t>
            </w:r>
            <w:proofErr w:type="spellStart"/>
            <w:r w:rsidRPr="00690EB9">
              <w:rPr>
                <w:rFonts w:ascii="Times New Roman" w:eastAsia="Times New Roman" w:hAnsi="Times New Roman" w:cs="Times New Roman"/>
                <w:iCs/>
                <w:sz w:val="24"/>
                <w:szCs w:val="24"/>
                <w:lang w:eastAsia="lv-LV"/>
              </w:rPr>
              <w:t>ģeolokācija</w:t>
            </w:r>
            <w:proofErr w:type="spellEnd"/>
            <w:r w:rsidRPr="00690EB9">
              <w:rPr>
                <w:rFonts w:ascii="Times New Roman" w:eastAsia="Times New Roman" w:hAnsi="Times New Roman" w:cs="Times New Roman"/>
                <w:iCs/>
                <w:sz w:val="24"/>
                <w:szCs w:val="24"/>
                <w:lang w:eastAsia="lv-LV"/>
              </w:rPr>
              <w:t xml:space="preserve"> utt.), personas veiktajām darbībām profilā (pieprasījumi, iniciētās darbības, pārbaudītā informācija utt.). Lai šo metodi piemērotu, </w:t>
            </w:r>
            <w:r>
              <w:rPr>
                <w:rFonts w:ascii="Times New Roman" w:eastAsia="Times New Roman" w:hAnsi="Times New Roman" w:cs="Times New Roman"/>
                <w:iCs/>
                <w:sz w:val="24"/>
                <w:szCs w:val="24"/>
                <w:lang w:eastAsia="lv-LV"/>
              </w:rPr>
              <w:t>NILLTFNL</w:t>
            </w:r>
            <w:r w:rsidRPr="00B37FF2">
              <w:rPr>
                <w:rFonts w:ascii="Times New Roman" w:eastAsia="Times New Roman" w:hAnsi="Times New Roman" w:cs="Times New Roman"/>
                <w:iCs/>
                <w:sz w:val="24"/>
                <w:szCs w:val="24"/>
                <w:lang w:eastAsia="lv-LV"/>
              </w:rPr>
              <w:t xml:space="preserve"> subjektam</w:t>
            </w:r>
            <w:r w:rsidRPr="00690EB9">
              <w:rPr>
                <w:rFonts w:ascii="Times New Roman" w:eastAsia="Times New Roman" w:hAnsi="Times New Roman" w:cs="Times New Roman"/>
                <w:iCs/>
                <w:sz w:val="24"/>
                <w:szCs w:val="24"/>
                <w:lang w:eastAsia="lv-LV"/>
              </w:rPr>
              <w:t xml:space="preserve"> būtu jābūt izpratnei par tipisku klienta uzvedību digitālajā vidē un spējai noteikt anomālijas, kas kal</w:t>
            </w:r>
            <w:r w:rsidRPr="00B37FF2">
              <w:rPr>
                <w:rFonts w:ascii="Times New Roman" w:eastAsia="Times New Roman" w:hAnsi="Times New Roman" w:cs="Times New Roman"/>
                <w:iCs/>
                <w:sz w:val="24"/>
                <w:szCs w:val="24"/>
                <w:lang w:eastAsia="lv-LV"/>
              </w:rPr>
              <w:t xml:space="preserve">potu par pamatu tālākai </w:t>
            </w:r>
            <w:proofErr w:type="spellStart"/>
            <w:r w:rsidRPr="00B37FF2">
              <w:rPr>
                <w:rFonts w:ascii="Times New Roman" w:eastAsia="Times New Roman" w:hAnsi="Times New Roman" w:cs="Times New Roman"/>
                <w:iCs/>
                <w:sz w:val="24"/>
                <w:szCs w:val="24"/>
                <w:lang w:eastAsia="lv-LV"/>
              </w:rPr>
              <w:t>izpētēi</w:t>
            </w:r>
            <w:proofErr w:type="spellEnd"/>
            <w:r w:rsidRPr="00B37FF2">
              <w:rPr>
                <w:rFonts w:ascii="Times New Roman" w:eastAsia="Times New Roman" w:hAnsi="Times New Roman" w:cs="Times New Roman"/>
                <w:iCs/>
                <w:sz w:val="24"/>
                <w:szCs w:val="24"/>
                <w:lang w:eastAsia="lv-LV"/>
              </w:rPr>
              <w:t>.</w:t>
            </w:r>
            <w:r w:rsidRPr="00690EB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690EB9">
              <w:rPr>
                <w:rFonts w:ascii="Times New Roman" w:eastAsia="Times New Roman" w:hAnsi="Times New Roman" w:cs="Times New Roman"/>
                <w:iCs/>
                <w:sz w:val="24"/>
                <w:szCs w:val="24"/>
                <w:lang w:eastAsia="lv-LV"/>
              </w:rPr>
              <w:t xml:space="preserve"> ar </w:t>
            </w:r>
            <w:proofErr w:type="spellStart"/>
            <w:r w:rsidRPr="00690EB9">
              <w:rPr>
                <w:rFonts w:ascii="Times New Roman" w:eastAsia="Times New Roman" w:hAnsi="Times New Roman" w:cs="Times New Roman"/>
                <w:iCs/>
                <w:sz w:val="24"/>
                <w:szCs w:val="24"/>
                <w:lang w:eastAsia="lv-LV"/>
              </w:rPr>
              <w:t>pašapmācošiem</w:t>
            </w:r>
            <w:proofErr w:type="spellEnd"/>
            <w:r w:rsidRPr="00690EB9">
              <w:rPr>
                <w:rFonts w:ascii="Times New Roman" w:eastAsia="Times New Roman" w:hAnsi="Times New Roman" w:cs="Times New Roman"/>
                <w:iCs/>
                <w:sz w:val="24"/>
                <w:szCs w:val="24"/>
                <w:lang w:eastAsia="lv-LV"/>
              </w:rPr>
              <w:t xml:space="preserve"> algoritmiem</w:t>
            </w:r>
            <w:r>
              <w:rPr>
                <w:rFonts w:ascii="Times New Roman" w:eastAsia="Times New Roman" w:hAnsi="Times New Roman" w:cs="Times New Roman"/>
                <w:iCs/>
                <w:sz w:val="24"/>
                <w:szCs w:val="24"/>
                <w:lang w:eastAsia="lv-LV"/>
              </w:rPr>
              <w:t xml:space="preserve"> u.c. </w:t>
            </w:r>
            <w:r w:rsidR="00361C84" w:rsidRPr="00473F49">
              <w:rPr>
                <w:rFonts w:ascii="Times New Roman" w:eastAsia="Times New Roman" w:hAnsi="Times New Roman" w:cs="Times New Roman"/>
                <w:iCs/>
                <w:sz w:val="24"/>
                <w:szCs w:val="24"/>
                <w:lang w:eastAsia="lv-LV"/>
              </w:rPr>
              <w:t xml:space="preserve"> </w:t>
            </w:r>
          </w:p>
          <w:p w:rsidR="00361C84" w:rsidRPr="00473F49" w:rsidRDefault="00361C84" w:rsidP="00361C84">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NILLTFNL  paredz, ka </w:t>
            </w:r>
            <w:r w:rsidR="00F607D2">
              <w:rPr>
                <w:rFonts w:ascii="Times New Roman" w:eastAsia="Times New Roman" w:hAnsi="Times New Roman" w:cs="Times New Roman"/>
                <w:iCs/>
                <w:sz w:val="24"/>
                <w:szCs w:val="24"/>
                <w:lang w:eastAsia="lv-LV"/>
              </w:rPr>
              <w:t>NILLTFNL</w:t>
            </w:r>
            <w:r w:rsidR="00F607D2"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subjekts atbilstoši tā NILLTF risku novērtējumam ir tiesīgs piemērot arī vairākus </w:t>
            </w:r>
            <w:r w:rsidR="00F607D2">
              <w:rPr>
                <w:rFonts w:ascii="Times New Roman" w:eastAsia="Times New Roman" w:hAnsi="Times New Roman" w:cs="Times New Roman"/>
                <w:iCs/>
                <w:sz w:val="24"/>
                <w:szCs w:val="24"/>
                <w:lang w:eastAsia="lv-LV"/>
              </w:rPr>
              <w:t xml:space="preserve">klienta </w:t>
            </w:r>
            <w:r w:rsidRPr="00473F49">
              <w:rPr>
                <w:rFonts w:ascii="Times New Roman" w:eastAsia="Times New Roman" w:hAnsi="Times New Roman" w:cs="Times New Roman"/>
                <w:iCs/>
                <w:sz w:val="24"/>
                <w:szCs w:val="24"/>
                <w:lang w:eastAsia="lv-LV"/>
              </w:rPr>
              <w:t xml:space="preserve">neklātienes identifikācijas veidus, kā arī veikt citus papildus pasākumus </w:t>
            </w:r>
            <w:r w:rsidR="00F607D2" w:rsidRPr="00473F49">
              <w:rPr>
                <w:rFonts w:ascii="Times New Roman" w:eastAsia="Times New Roman" w:hAnsi="Times New Roman" w:cs="Times New Roman"/>
                <w:iCs/>
                <w:sz w:val="24"/>
                <w:szCs w:val="24"/>
                <w:lang w:eastAsia="lv-LV"/>
              </w:rPr>
              <w:t>klient</w:t>
            </w:r>
            <w:r w:rsidR="00F607D2">
              <w:rPr>
                <w:rFonts w:ascii="Times New Roman" w:eastAsia="Times New Roman" w:hAnsi="Times New Roman" w:cs="Times New Roman"/>
                <w:iCs/>
                <w:sz w:val="24"/>
                <w:szCs w:val="24"/>
                <w:lang w:eastAsia="lv-LV"/>
              </w:rPr>
              <w:t>a</w:t>
            </w:r>
            <w:r w:rsidR="00F607D2"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identificēšanai, piemēram, papildus informācijas pieprasīšanu no klienta. Ņemot vērā minēto, </w:t>
            </w:r>
            <w:r w:rsidR="00F607D2">
              <w:rPr>
                <w:rFonts w:ascii="Times New Roman" w:eastAsia="Times New Roman" w:hAnsi="Times New Roman" w:cs="Times New Roman"/>
                <w:iCs/>
                <w:sz w:val="24"/>
                <w:szCs w:val="24"/>
                <w:lang w:eastAsia="lv-LV"/>
              </w:rPr>
              <w:t>NILLTNFL</w:t>
            </w:r>
            <w:r w:rsidR="00F607D2"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subjekts, kas klientu identificē atbilstoši MK noteikumu projektam, klienta neklātienes identifikācijai ir tiesīgs piemērot vairākus MK noteikumu projektā norādītos </w:t>
            </w:r>
            <w:r w:rsidR="00F607D2">
              <w:rPr>
                <w:rFonts w:ascii="Times New Roman" w:eastAsia="Times New Roman" w:hAnsi="Times New Roman" w:cs="Times New Roman"/>
                <w:iCs/>
                <w:sz w:val="24"/>
                <w:szCs w:val="24"/>
                <w:lang w:eastAsia="lv-LV"/>
              </w:rPr>
              <w:t xml:space="preserve">klienta </w:t>
            </w:r>
            <w:r w:rsidRPr="00473F49">
              <w:rPr>
                <w:rFonts w:ascii="Times New Roman" w:eastAsia="Times New Roman" w:hAnsi="Times New Roman" w:cs="Times New Roman"/>
                <w:iCs/>
                <w:sz w:val="24"/>
                <w:szCs w:val="24"/>
                <w:lang w:eastAsia="lv-LV"/>
              </w:rPr>
              <w:t>neklātienes identifikācijas veidus vienlaicīgi.</w:t>
            </w:r>
          </w:p>
          <w:p w:rsidR="00A45500" w:rsidRDefault="00361C84" w:rsidP="00A45500">
            <w:pPr>
              <w:jc w:val="both"/>
              <w:rPr>
                <w:color w:val="1F497D"/>
              </w:rPr>
            </w:pPr>
            <w:r w:rsidRPr="00473F49">
              <w:rPr>
                <w:rFonts w:ascii="Times New Roman" w:eastAsia="Times New Roman" w:hAnsi="Times New Roman" w:cs="Times New Roman"/>
                <w:iCs/>
                <w:sz w:val="24"/>
                <w:szCs w:val="24"/>
                <w:lang w:eastAsia="lv-LV"/>
              </w:rPr>
              <w:t>Neskaitot augstāk minēto, MK noteikum</w:t>
            </w:r>
            <w:r w:rsidR="00DA5B07" w:rsidRPr="00473F49">
              <w:rPr>
                <w:rFonts w:ascii="Times New Roman" w:eastAsia="Times New Roman" w:hAnsi="Times New Roman" w:cs="Times New Roman"/>
                <w:iCs/>
                <w:sz w:val="24"/>
                <w:szCs w:val="24"/>
                <w:lang w:eastAsia="lv-LV"/>
              </w:rPr>
              <w:t>u projektā</w:t>
            </w:r>
            <w:r w:rsidRPr="00473F49">
              <w:rPr>
                <w:rFonts w:ascii="Times New Roman" w:eastAsia="Times New Roman" w:hAnsi="Times New Roman" w:cs="Times New Roman"/>
                <w:iCs/>
                <w:sz w:val="24"/>
                <w:szCs w:val="24"/>
                <w:lang w:eastAsia="lv-LV"/>
              </w:rPr>
              <w:t xml:space="preserve"> </w:t>
            </w:r>
            <w:r w:rsidR="00BF494F">
              <w:rPr>
                <w:rFonts w:ascii="Times New Roman" w:eastAsia="Times New Roman" w:hAnsi="Times New Roman" w:cs="Times New Roman"/>
                <w:iCs/>
                <w:sz w:val="24"/>
                <w:szCs w:val="24"/>
                <w:lang w:eastAsia="lv-LV"/>
              </w:rPr>
              <w:t>noteikti</w:t>
            </w:r>
            <w:r w:rsidR="00BF494F"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arī izņēmumi, atbilstoši kuriem </w:t>
            </w:r>
            <w:r w:rsidR="00F607D2">
              <w:rPr>
                <w:rFonts w:ascii="Times New Roman" w:eastAsia="Times New Roman" w:hAnsi="Times New Roman" w:cs="Times New Roman"/>
                <w:iCs/>
                <w:sz w:val="24"/>
                <w:szCs w:val="24"/>
                <w:lang w:eastAsia="lv-LV"/>
              </w:rPr>
              <w:t>NILLTFNL</w:t>
            </w:r>
            <w:r w:rsidR="00F607D2"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subjekta tiesības izvēlēties neklātienes identifikācijas veidu ir ierobežotas. Proti, </w:t>
            </w:r>
            <w:r w:rsidR="00F607D2">
              <w:rPr>
                <w:rFonts w:ascii="Times New Roman" w:eastAsia="Times New Roman" w:hAnsi="Times New Roman" w:cs="Times New Roman"/>
                <w:iCs/>
                <w:sz w:val="24"/>
                <w:szCs w:val="24"/>
                <w:lang w:eastAsia="lv-LV"/>
              </w:rPr>
              <w:t xml:space="preserve">NILLTFNL </w:t>
            </w:r>
            <w:r w:rsidRPr="00473F49">
              <w:rPr>
                <w:rFonts w:ascii="Times New Roman" w:eastAsia="Times New Roman" w:hAnsi="Times New Roman" w:cs="Times New Roman"/>
                <w:iCs/>
                <w:sz w:val="24"/>
                <w:szCs w:val="24"/>
                <w:lang w:eastAsia="lv-LV"/>
              </w:rPr>
              <w:t xml:space="preserve">subjektam obligāti jāpiemēro vai nu </w:t>
            </w:r>
            <w:proofErr w:type="spellStart"/>
            <w:r w:rsidRPr="00473F49">
              <w:rPr>
                <w:rFonts w:ascii="Times New Roman" w:eastAsia="Times New Roman" w:hAnsi="Times New Roman" w:cs="Times New Roman"/>
                <w:iCs/>
                <w:sz w:val="24"/>
                <w:szCs w:val="24"/>
                <w:lang w:eastAsia="lv-LV"/>
              </w:rPr>
              <w:t>videoidentifikācija</w:t>
            </w:r>
            <w:proofErr w:type="spellEnd"/>
            <w:r w:rsidRPr="00473F49">
              <w:rPr>
                <w:rFonts w:ascii="Times New Roman" w:eastAsia="Times New Roman" w:hAnsi="Times New Roman" w:cs="Times New Roman"/>
                <w:iCs/>
                <w:sz w:val="24"/>
                <w:szCs w:val="24"/>
                <w:lang w:eastAsia="lv-LV"/>
              </w:rPr>
              <w:t xml:space="preserve"> vai elektroniskais paraksts šādos gadījumos: 1) </w:t>
            </w:r>
            <w:r w:rsidR="00F607D2">
              <w:rPr>
                <w:rFonts w:ascii="Times New Roman" w:eastAsia="Times New Roman" w:hAnsi="Times New Roman" w:cs="Times New Roman"/>
                <w:iCs/>
                <w:sz w:val="24"/>
                <w:szCs w:val="24"/>
                <w:lang w:eastAsia="lv-LV"/>
              </w:rPr>
              <w:t>NILLTFNL</w:t>
            </w:r>
            <w:r w:rsidR="00F607D2"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subjekta </w:t>
            </w:r>
            <w:r w:rsidR="00F607D2" w:rsidRPr="00473F49">
              <w:rPr>
                <w:rFonts w:ascii="Times New Roman" w:eastAsia="Times New Roman" w:hAnsi="Times New Roman" w:cs="Times New Roman"/>
                <w:iCs/>
                <w:sz w:val="24"/>
                <w:szCs w:val="24"/>
                <w:lang w:eastAsia="lv-LV"/>
              </w:rPr>
              <w:t>klient</w:t>
            </w:r>
            <w:r w:rsidR="00F607D2">
              <w:rPr>
                <w:rFonts w:ascii="Times New Roman" w:eastAsia="Times New Roman" w:hAnsi="Times New Roman" w:cs="Times New Roman"/>
                <w:iCs/>
                <w:sz w:val="24"/>
                <w:szCs w:val="24"/>
                <w:lang w:eastAsia="lv-LV"/>
              </w:rPr>
              <w:t>s vai klienta patiesais labuma guvējs</w:t>
            </w:r>
            <w:r w:rsidR="00F607D2"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ir saistīt</w:t>
            </w:r>
            <w:r w:rsidR="00F607D2">
              <w:rPr>
                <w:rFonts w:ascii="Times New Roman" w:eastAsia="Times New Roman" w:hAnsi="Times New Roman" w:cs="Times New Roman"/>
                <w:iCs/>
                <w:sz w:val="24"/>
                <w:szCs w:val="24"/>
                <w:lang w:eastAsia="lv-LV"/>
              </w:rPr>
              <w:t>s</w:t>
            </w:r>
            <w:r w:rsidRPr="00473F49">
              <w:rPr>
                <w:rFonts w:ascii="Times New Roman" w:eastAsia="Times New Roman" w:hAnsi="Times New Roman" w:cs="Times New Roman"/>
                <w:iCs/>
                <w:sz w:val="24"/>
                <w:szCs w:val="24"/>
                <w:lang w:eastAsia="lv-LV"/>
              </w:rPr>
              <w:t xml:space="preserve"> ar paaugstināta riska jurisdikciju; 2) </w:t>
            </w:r>
            <w:r w:rsidR="00F607D2">
              <w:rPr>
                <w:rFonts w:ascii="Times New Roman" w:eastAsia="Times New Roman" w:hAnsi="Times New Roman" w:cs="Times New Roman"/>
                <w:iCs/>
                <w:sz w:val="24"/>
                <w:szCs w:val="24"/>
                <w:lang w:eastAsia="lv-LV"/>
              </w:rPr>
              <w:t>NILTLFNL</w:t>
            </w:r>
            <w:r w:rsidR="00F607D2" w:rsidRPr="00473F49">
              <w:rPr>
                <w:rFonts w:ascii="Times New Roman" w:eastAsia="Times New Roman" w:hAnsi="Times New Roman" w:cs="Times New Roman"/>
                <w:iCs/>
                <w:sz w:val="24"/>
                <w:szCs w:val="24"/>
                <w:lang w:eastAsia="lv-LV"/>
              </w:rPr>
              <w:t xml:space="preserve"> </w:t>
            </w:r>
            <w:r w:rsidRPr="00473F49">
              <w:rPr>
                <w:rFonts w:ascii="Times New Roman" w:eastAsia="Times New Roman" w:hAnsi="Times New Roman" w:cs="Times New Roman"/>
                <w:iCs/>
                <w:sz w:val="24"/>
                <w:szCs w:val="24"/>
                <w:lang w:eastAsia="lv-LV"/>
              </w:rPr>
              <w:t xml:space="preserve">subjekts </w:t>
            </w:r>
            <w:r w:rsidR="005F1207" w:rsidRPr="00473F49">
              <w:rPr>
                <w:rFonts w:ascii="Times New Roman" w:eastAsia="Times New Roman" w:hAnsi="Times New Roman" w:cs="Times New Roman"/>
                <w:iCs/>
                <w:sz w:val="24"/>
                <w:szCs w:val="24"/>
                <w:lang w:eastAsia="lv-LV"/>
              </w:rPr>
              <w:t>konstatēj</w:t>
            </w:r>
            <w:r w:rsidR="005F1207">
              <w:rPr>
                <w:rFonts w:ascii="Times New Roman" w:eastAsia="Times New Roman" w:hAnsi="Times New Roman" w:cs="Times New Roman"/>
                <w:iCs/>
                <w:sz w:val="24"/>
                <w:szCs w:val="24"/>
                <w:lang w:eastAsia="lv-LV"/>
              </w:rPr>
              <w:t>is</w:t>
            </w:r>
            <w:r w:rsidRPr="00473F49">
              <w:rPr>
                <w:rFonts w:ascii="Times New Roman" w:eastAsia="Times New Roman" w:hAnsi="Times New Roman" w:cs="Times New Roman"/>
                <w:iCs/>
                <w:sz w:val="24"/>
                <w:szCs w:val="24"/>
                <w:lang w:eastAsia="lv-LV"/>
              </w:rPr>
              <w:t>, ka uz tā klient</w:t>
            </w:r>
            <w:r w:rsidR="005F1207">
              <w:rPr>
                <w:rFonts w:ascii="Times New Roman" w:eastAsia="Times New Roman" w:hAnsi="Times New Roman" w:cs="Times New Roman"/>
                <w:iCs/>
                <w:sz w:val="24"/>
                <w:szCs w:val="24"/>
                <w:lang w:eastAsia="lv-LV"/>
              </w:rPr>
              <w:t>a</w:t>
            </w:r>
            <w:r w:rsidRPr="00473F49">
              <w:rPr>
                <w:rFonts w:ascii="Times New Roman" w:eastAsia="Times New Roman" w:hAnsi="Times New Roman" w:cs="Times New Roman"/>
                <w:iCs/>
                <w:sz w:val="24"/>
                <w:szCs w:val="24"/>
                <w:lang w:eastAsia="lv-LV"/>
              </w:rPr>
              <w:t xml:space="preserve"> saimniecisko vai personisko darbību attiecināms kāds no normatīvajos aktos par klient</w:t>
            </w:r>
            <w:r w:rsidR="005F1207">
              <w:rPr>
                <w:rFonts w:ascii="Times New Roman" w:eastAsia="Times New Roman" w:hAnsi="Times New Roman" w:cs="Times New Roman"/>
                <w:iCs/>
                <w:sz w:val="24"/>
                <w:szCs w:val="24"/>
                <w:lang w:eastAsia="lv-LV"/>
              </w:rPr>
              <w:t>a</w:t>
            </w:r>
            <w:r w:rsidRPr="00473F49">
              <w:rPr>
                <w:rFonts w:ascii="Times New Roman" w:eastAsia="Times New Roman" w:hAnsi="Times New Roman" w:cs="Times New Roman"/>
                <w:iCs/>
                <w:sz w:val="24"/>
                <w:szCs w:val="24"/>
                <w:lang w:eastAsia="lv-LV"/>
              </w:rPr>
              <w:t xml:space="preserve"> padziļināto izpēti noteiktajiem riskiem</w:t>
            </w:r>
            <w:r w:rsidR="005F1207">
              <w:rPr>
                <w:rFonts w:ascii="Times New Roman" w:eastAsia="Times New Roman" w:hAnsi="Times New Roman" w:cs="Times New Roman"/>
                <w:iCs/>
                <w:sz w:val="24"/>
                <w:szCs w:val="24"/>
                <w:lang w:eastAsia="lv-LV"/>
              </w:rPr>
              <w:t xml:space="preserve"> </w:t>
            </w:r>
            <w:proofErr w:type="spellStart"/>
            <w:r w:rsidR="00690EB9" w:rsidRPr="00473F49">
              <w:rPr>
                <w:rFonts w:ascii="Times New Roman" w:eastAsia="Times New Roman" w:hAnsi="Times New Roman" w:cs="Times New Roman"/>
                <w:iCs/>
                <w:sz w:val="24"/>
                <w:szCs w:val="24"/>
                <w:lang w:eastAsia="lv-LV"/>
              </w:rPr>
              <w:t>riskiem</w:t>
            </w:r>
            <w:proofErr w:type="spellEnd"/>
            <w:r w:rsidR="00690EB9">
              <w:rPr>
                <w:rFonts w:ascii="Times New Roman" w:eastAsia="Times New Roman" w:hAnsi="Times New Roman" w:cs="Times New Roman"/>
                <w:iCs/>
                <w:sz w:val="24"/>
                <w:szCs w:val="24"/>
                <w:lang w:eastAsia="lv-LV"/>
              </w:rPr>
              <w:t xml:space="preserve">  (par </w:t>
            </w:r>
            <w:r w:rsidR="00690EB9">
              <w:rPr>
                <w:rFonts w:ascii="Times New Roman" w:eastAsia="Times New Roman" w:hAnsi="Times New Roman" w:cs="Times New Roman"/>
                <w:iCs/>
                <w:sz w:val="24"/>
                <w:szCs w:val="24"/>
                <w:lang w:eastAsia="lv-LV"/>
              </w:rPr>
              <w:lastRenderedPageBreak/>
              <w:t xml:space="preserve">šādu risku nav izskatāms apstāklis, ka padziļināta izpēte jāveic, jo klients identificēts neklātienē) un mēneša darījuma summa pārsniedz 3000 </w:t>
            </w:r>
            <w:proofErr w:type="spellStart"/>
            <w:r w:rsidR="00690EB9">
              <w:rPr>
                <w:rFonts w:ascii="Times New Roman" w:eastAsia="Times New Roman" w:hAnsi="Times New Roman" w:cs="Times New Roman"/>
                <w:iCs/>
                <w:sz w:val="24"/>
                <w:szCs w:val="24"/>
                <w:lang w:eastAsia="lv-LV"/>
              </w:rPr>
              <w:t>euro</w:t>
            </w:r>
            <w:proofErr w:type="spellEnd"/>
            <w:r w:rsidR="00690EB9" w:rsidRPr="00473F49">
              <w:rPr>
                <w:rFonts w:ascii="Times New Roman" w:eastAsia="Times New Roman" w:hAnsi="Times New Roman" w:cs="Times New Roman"/>
                <w:iCs/>
                <w:sz w:val="24"/>
                <w:szCs w:val="24"/>
                <w:lang w:eastAsia="lv-LV"/>
              </w:rPr>
              <w:t>.</w:t>
            </w:r>
            <w:r w:rsidR="00690EB9" w:rsidRPr="00A45500">
              <w:rPr>
                <w:rFonts w:ascii="Times New Roman" w:eastAsia="Times New Roman" w:hAnsi="Times New Roman" w:cs="Times New Roman"/>
                <w:iCs/>
                <w:sz w:val="24"/>
                <w:szCs w:val="24"/>
                <w:lang w:eastAsia="lv-LV"/>
              </w:rPr>
              <w:t xml:space="preserve"> Pēdējā sakarā norādāms, ka </w:t>
            </w:r>
            <w:r w:rsidR="00A45500" w:rsidRPr="00A45500">
              <w:rPr>
                <w:rFonts w:ascii="Times New Roman" w:eastAsia="Times New Roman" w:hAnsi="Times New Roman" w:cs="Times New Roman"/>
                <w:iCs/>
                <w:sz w:val="24"/>
                <w:szCs w:val="24"/>
                <w:lang w:eastAsia="lv-LV"/>
              </w:rPr>
              <w:t>tas ir paredzēts tiem gadījumiem, kad klientam jāveic padziļinātā izpēte normatīvajos aktos noteiktajos gadījumos, piemēram, sakarā ar ģeogrāfisko vai darbībai piemītošo risku, bet punktā noteiktais ierobežojums izmantot noteiktas identifikācijas metodes (7.3. un 7.4. apakšpunktā minētās) neattiecas uz situāciju, ka klientam piemērota padziļinātā izpēte tādēļ, ka viņš identificēts neklātienē.</w:t>
            </w:r>
            <w:r w:rsidR="00A45500">
              <w:rPr>
                <w:color w:val="1F497D"/>
              </w:rPr>
              <w:t xml:space="preserve"> </w:t>
            </w:r>
          </w:p>
          <w:p w:rsidR="00581202" w:rsidRPr="00473F49" w:rsidRDefault="00BF494F" w:rsidP="0058120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581202" w:rsidRPr="00473F49">
              <w:rPr>
                <w:rFonts w:ascii="Times New Roman" w:eastAsia="Times New Roman" w:hAnsi="Times New Roman" w:cs="Times New Roman"/>
                <w:iCs/>
                <w:sz w:val="24"/>
                <w:szCs w:val="24"/>
                <w:lang w:eastAsia="lv-LV"/>
              </w:rPr>
              <w:t>oteikum</w:t>
            </w:r>
            <w:r>
              <w:rPr>
                <w:rFonts w:ascii="Times New Roman" w:eastAsia="Times New Roman" w:hAnsi="Times New Roman" w:cs="Times New Roman"/>
                <w:iCs/>
                <w:sz w:val="24"/>
                <w:szCs w:val="24"/>
                <w:lang w:eastAsia="lv-LV"/>
              </w:rPr>
              <w:t>u projekts</w:t>
            </w:r>
            <w:r w:rsidR="00581202" w:rsidRPr="00473F49">
              <w:rPr>
                <w:rFonts w:ascii="Times New Roman" w:eastAsia="Times New Roman" w:hAnsi="Times New Roman" w:cs="Times New Roman"/>
                <w:iCs/>
                <w:sz w:val="24"/>
                <w:szCs w:val="24"/>
                <w:lang w:eastAsia="lv-LV"/>
              </w:rPr>
              <w:t xml:space="preserve"> paredz izsmeļošu neklātienes identifikācijas</w:t>
            </w:r>
            <w:r w:rsidR="005F1207">
              <w:rPr>
                <w:rFonts w:ascii="Times New Roman" w:eastAsia="Times New Roman" w:hAnsi="Times New Roman" w:cs="Times New Roman"/>
                <w:iCs/>
                <w:sz w:val="24"/>
                <w:szCs w:val="24"/>
                <w:lang w:eastAsia="lv-LV"/>
              </w:rPr>
              <w:t>,</w:t>
            </w:r>
            <w:r w:rsidR="00581202" w:rsidRPr="00473F49">
              <w:rPr>
                <w:rFonts w:ascii="Times New Roman" w:eastAsia="Times New Roman" w:hAnsi="Times New Roman" w:cs="Times New Roman"/>
                <w:iCs/>
                <w:sz w:val="24"/>
                <w:szCs w:val="24"/>
                <w:lang w:eastAsia="lv-LV"/>
              </w:rPr>
              <w:t xml:space="preserve"> visvairāk praksē izmantot</w:t>
            </w:r>
            <w:r w:rsidR="004E6EFD">
              <w:rPr>
                <w:rFonts w:ascii="Times New Roman" w:eastAsia="Times New Roman" w:hAnsi="Times New Roman" w:cs="Times New Roman"/>
                <w:iCs/>
                <w:sz w:val="24"/>
                <w:szCs w:val="24"/>
                <w:lang w:eastAsia="lv-LV"/>
              </w:rPr>
              <w:t>o</w:t>
            </w:r>
            <w:r w:rsidR="00581202" w:rsidRPr="00473F49">
              <w:rPr>
                <w:rFonts w:ascii="Times New Roman" w:eastAsia="Times New Roman" w:hAnsi="Times New Roman" w:cs="Times New Roman"/>
                <w:iCs/>
                <w:sz w:val="24"/>
                <w:szCs w:val="24"/>
                <w:lang w:eastAsia="lv-LV"/>
              </w:rPr>
              <w:t xml:space="preserve"> metožu uzskaitījumu, tomēr to īstenošanai var izmantot visplašākos tehnoloģiskos risinājumus, it īpaši drošības nodrošināšanai. </w:t>
            </w:r>
            <w:r w:rsidR="005F1207">
              <w:rPr>
                <w:rFonts w:ascii="Times New Roman" w:eastAsia="Times New Roman" w:hAnsi="Times New Roman" w:cs="Times New Roman"/>
                <w:iCs/>
                <w:sz w:val="24"/>
                <w:szCs w:val="24"/>
                <w:lang w:eastAsia="lv-LV"/>
              </w:rPr>
              <w:t>NILLTFNL</w:t>
            </w:r>
            <w:r w:rsidR="005F1207" w:rsidRPr="00473F49">
              <w:rPr>
                <w:rFonts w:ascii="Times New Roman" w:eastAsia="Times New Roman" w:hAnsi="Times New Roman" w:cs="Times New Roman"/>
                <w:iCs/>
                <w:sz w:val="24"/>
                <w:szCs w:val="24"/>
                <w:lang w:eastAsia="lv-LV"/>
              </w:rPr>
              <w:t xml:space="preserve"> </w:t>
            </w:r>
            <w:r w:rsidR="00581202" w:rsidRPr="00473F49">
              <w:rPr>
                <w:rFonts w:ascii="Times New Roman" w:eastAsia="Times New Roman" w:hAnsi="Times New Roman" w:cs="Times New Roman"/>
                <w:iCs/>
                <w:sz w:val="24"/>
                <w:szCs w:val="24"/>
                <w:lang w:eastAsia="lv-LV"/>
              </w:rPr>
              <w:t xml:space="preserve">subjekts var izmantot arī citas </w:t>
            </w:r>
            <w:r w:rsidR="009C49D8">
              <w:rPr>
                <w:rFonts w:ascii="Times New Roman" w:eastAsia="Times New Roman" w:hAnsi="Times New Roman" w:cs="Times New Roman"/>
                <w:iCs/>
                <w:sz w:val="24"/>
                <w:szCs w:val="24"/>
                <w:lang w:eastAsia="lv-LV"/>
              </w:rPr>
              <w:t xml:space="preserve">MK noteikumos neminētās </w:t>
            </w:r>
            <w:r w:rsidR="00581202" w:rsidRPr="00473F49">
              <w:rPr>
                <w:rFonts w:ascii="Times New Roman" w:eastAsia="Times New Roman" w:hAnsi="Times New Roman" w:cs="Times New Roman"/>
                <w:iCs/>
                <w:sz w:val="24"/>
                <w:szCs w:val="24"/>
                <w:lang w:eastAsia="lv-LV"/>
              </w:rPr>
              <w:t>metodes, bet tad viņam ir jāveic klienta padziļinātā izpēte neatkarīgi no citiem riskiem. Š</w:t>
            </w:r>
            <w:r>
              <w:rPr>
                <w:rFonts w:ascii="Times New Roman" w:eastAsia="Times New Roman" w:hAnsi="Times New Roman" w:cs="Times New Roman"/>
                <w:iCs/>
                <w:sz w:val="24"/>
                <w:szCs w:val="24"/>
                <w:lang w:eastAsia="lv-LV"/>
              </w:rPr>
              <w:t>is MK noteikumu projekts</w:t>
            </w:r>
            <w:r w:rsidR="00581202" w:rsidRPr="00473F49">
              <w:rPr>
                <w:rFonts w:ascii="Times New Roman" w:eastAsia="Times New Roman" w:hAnsi="Times New Roman" w:cs="Times New Roman"/>
                <w:iCs/>
                <w:sz w:val="24"/>
                <w:szCs w:val="24"/>
                <w:lang w:eastAsia="lv-LV"/>
              </w:rPr>
              <w:t xml:space="preserve"> neietekmē klienta padziļinātās izpētes veikšanu tad, kad tas izriet no citām prasībām, piemēram, saistībā ar konta apgrozījumu. </w:t>
            </w:r>
          </w:p>
          <w:p w:rsidR="00581202" w:rsidRPr="00473F49" w:rsidRDefault="000A454E" w:rsidP="0058120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w:t>
            </w:r>
            <w:r w:rsidR="00701536">
              <w:rPr>
                <w:rFonts w:ascii="Times New Roman" w:eastAsia="Times New Roman" w:hAnsi="Times New Roman" w:cs="Times New Roman"/>
                <w:iCs/>
                <w:sz w:val="24"/>
                <w:szCs w:val="24"/>
                <w:lang w:eastAsia="lv-LV"/>
              </w:rPr>
              <w:t>n</w:t>
            </w:r>
            <w:r w:rsidR="00581202" w:rsidRPr="00473F49">
              <w:rPr>
                <w:rFonts w:ascii="Times New Roman" w:eastAsia="Times New Roman" w:hAnsi="Times New Roman" w:cs="Times New Roman"/>
                <w:iCs/>
                <w:sz w:val="24"/>
                <w:szCs w:val="24"/>
                <w:lang w:eastAsia="lv-LV"/>
              </w:rPr>
              <w:t xml:space="preserve">oteikumu projekts nedublē </w:t>
            </w:r>
            <w:r w:rsidR="005F1207">
              <w:rPr>
                <w:rFonts w:ascii="Times New Roman" w:eastAsia="Times New Roman" w:hAnsi="Times New Roman" w:cs="Times New Roman"/>
                <w:iCs/>
                <w:sz w:val="24"/>
                <w:szCs w:val="24"/>
                <w:lang w:eastAsia="lv-LV"/>
              </w:rPr>
              <w:t>NILLTFNL</w:t>
            </w:r>
            <w:r w:rsidR="00581202" w:rsidRPr="00473F49">
              <w:rPr>
                <w:rFonts w:ascii="Times New Roman" w:eastAsia="Times New Roman" w:hAnsi="Times New Roman" w:cs="Times New Roman"/>
                <w:iCs/>
                <w:sz w:val="24"/>
                <w:szCs w:val="24"/>
                <w:lang w:eastAsia="lv-LV"/>
              </w:rPr>
              <w:t xml:space="preserve"> normas, kuras jāpiemēro kopsakarībā ar šiem noteikumiem. </w:t>
            </w:r>
            <w:r w:rsidR="00701536">
              <w:rPr>
                <w:rFonts w:ascii="Times New Roman" w:eastAsia="Times New Roman" w:hAnsi="Times New Roman" w:cs="Times New Roman"/>
                <w:iCs/>
                <w:sz w:val="24"/>
                <w:szCs w:val="24"/>
                <w:lang w:eastAsia="lv-LV"/>
              </w:rPr>
              <w:t>Šis MK noteikumu projekts tiek piemērots</w:t>
            </w:r>
            <w:r w:rsidR="002741ED">
              <w:rPr>
                <w:rFonts w:ascii="Times New Roman" w:eastAsia="Times New Roman" w:hAnsi="Times New Roman" w:cs="Times New Roman"/>
                <w:iCs/>
                <w:sz w:val="24"/>
                <w:szCs w:val="24"/>
                <w:lang w:eastAsia="lv-LV"/>
              </w:rPr>
              <w:t xml:space="preserve">, ciktāl citi normatīvie akti nenosaka atšķirīgas prasības klienta neklātienes identifikācijai, kā piemēram NILLTFNL subjekts – zvērināts notārs piemēros </w:t>
            </w:r>
            <w:r w:rsidR="0069760F">
              <w:rPr>
                <w:rFonts w:ascii="Times New Roman" w:eastAsia="Times New Roman" w:hAnsi="Times New Roman" w:cs="Times New Roman"/>
                <w:iCs/>
                <w:sz w:val="24"/>
                <w:szCs w:val="24"/>
                <w:lang w:eastAsia="lv-LV"/>
              </w:rPr>
              <w:t>Notariāta likuma kārtībā (ar 2018.gada 1.jūlija stāsies spēkā grozījumi, kuri paredzēs zvērinātiem notāriem iespēju attālinātā veidā sniegt pakalpojumus klientiem, līdz ar to arī identificēt klientu neklātienē</w:t>
            </w:r>
            <w:r w:rsidR="000C0633">
              <w:rPr>
                <w:rFonts w:ascii="Times New Roman" w:eastAsia="Times New Roman" w:hAnsi="Times New Roman" w:cs="Times New Roman"/>
                <w:iCs/>
                <w:sz w:val="24"/>
                <w:szCs w:val="24"/>
                <w:lang w:eastAsia="lv-LV"/>
              </w:rPr>
              <w:t xml:space="preserve"> video konferences režīmā</w:t>
            </w:r>
            <w:r w:rsidR="0069760F">
              <w:rPr>
                <w:rFonts w:ascii="Times New Roman" w:eastAsia="Times New Roman" w:hAnsi="Times New Roman" w:cs="Times New Roman"/>
                <w:iCs/>
                <w:sz w:val="24"/>
                <w:szCs w:val="24"/>
                <w:lang w:eastAsia="lv-LV"/>
              </w:rPr>
              <w:t xml:space="preserve">). Savukārt </w:t>
            </w:r>
            <w:r w:rsidR="002741ED">
              <w:rPr>
                <w:rFonts w:ascii="Times New Roman" w:eastAsia="Times New Roman" w:hAnsi="Times New Roman" w:cs="Times New Roman"/>
                <w:iCs/>
                <w:sz w:val="24"/>
                <w:szCs w:val="24"/>
                <w:lang w:eastAsia="lv-LV"/>
              </w:rPr>
              <w:t xml:space="preserve"> </w:t>
            </w:r>
            <w:r w:rsidR="00581202" w:rsidRPr="00473F49">
              <w:rPr>
                <w:rFonts w:ascii="Times New Roman" w:eastAsia="Times New Roman" w:hAnsi="Times New Roman" w:cs="Times New Roman"/>
                <w:iCs/>
                <w:sz w:val="24"/>
                <w:szCs w:val="24"/>
                <w:lang w:eastAsia="lv-LV"/>
              </w:rPr>
              <w:t xml:space="preserve">Kredītiestādēm, piemēram, papildus jāpiemēro arī citi Finanšu un kapitāla tirgus komisijas normatīvie noteikumi attiecībā uz risku pārvaldīšanu. </w:t>
            </w:r>
            <w:r w:rsidR="00701536">
              <w:rPr>
                <w:rFonts w:ascii="Times New Roman" w:eastAsia="Times New Roman" w:hAnsi="Times New Roman" w:cs="Times New Roman"/>
                <w:iCs/>
                <w:sz w:val="24"/>
                <w:szCs w:val="24"/>
                <w:lang w:eastAsia="lv-LV"/>
              </w:rPr>
              <w:t>MK n</w:t>
            </w:r>
            <w:r w:rsidR="00BC3DCA">
              <w:rPr>
                <w:rFonts w:ascii="Times New Roman" w:eastAsia="Times New Roman" w:hAnsi="Times New Roman" w:cs="Times New Roman"/>
                <w:iCs/>
                <w:sz w:val="24"/>
                <w:szCs w:val="24"/>
                <w:lang w:eastAsia="lv-LV"/>
              </w:rPr>
              <w:t>oteikum</w:t>
            </w:r>
            <w:r w:rsidR="00701536">
              <w:rPr>
                <w:rFonts w:ascii="Times New Roman" w:eastAsia="Times New Roman" w:hAnsi="Times New Roman" w:cs="Times New Roman"/>
                <w:iCs/>
                <w:sz w:val="24"/>
                <w:szCs w:val="24"/>
                <w:lang w:eastAsia="lv-LV"/>
              </w:rPr>
              <w:t xml:space="preserve">u </w:t>
            </w:r>
            <w:proofErr w:type="spellStart"/>
            <w:r w:rsidR="00701536">
              <w:rPr>
                <w:rFonts w:ascii="Times New Roman" w:eastAsia="Times New Roman" w:hAnsi="Times New Roman" w:cs="Times New Roman"/>
                <w:iCs/>
                <w:sz w:val="24"/>
                <w:szCs w:val="24"/>
                <w:lang w:eastAsia="lv-LV"/>
              </w:rPr>
              <w:t>projkets</w:t>
            </w:r>
            <w:proofErr w:type="spellEnd"/>
            <w:r w:rsidR="00BC3DCA">
              <w:rPr>
                <w:rFonts w:ascii="Times New Roman" w:eastAsia="Times New Roman" w:hAnsi="Times New Roman" w:cs="Times New Roman"/>
                <w:iCs/>
                <w:sz w:val="24"/>
                <w:szCs w:val="24"/>
                <w:lang w:eastAsia="lv-LV"/>
              </w:rPr>
              <w:t xml:space="preserve"> neizslēdz arī tiesības likuma subjektam savai darbībai atbilstoši savos speciālajos normatīvajos aktos iestrādāt specifisku kārtību un apjomu attiecībā uz klienta neklātienes identifikāciju, kā piemēram </w:t>
            </w:r>
            <w:r w:rsidR="00E537C2">
              <w:rPr>
                <w:rFonts w:ascii="Times New Roman" w:eastAsia="Times New Roman" w:hAnsi="Times New Roman" w:cs="Times New Roman"/>
                <w:iCs/>
                <w:sz w:val="24"/>
                <w:szCs w:val="24"/>
                <w:lang w:eastAsia="lv-LV"/>
              </w:rPr>
              <w:t xml:space="preserve">apdrošināšanas gadījumos, kad labuma guvējam tiek veikta izmaksa iestājoties noteiktiem noteikumiem, labuma guvējs tiks identificēts pēc darījuma noslēgšanas ar klientu, līdz ar to specifiskā neklātienes identifikācijas kārtība ir jāparedz kā </w:t>
            </w:r>
            <w:r w:rsidR="00E537C2">
              <w:rPr>
                <w:rFonts w:ascii="Times New Roman" w:eastAsia="Times New Roman" w:hAnsi="Times New Roman" w:cs="Times New Roman"/>
                <w:iCs/>
                <w:sz w:val="24"/>
                <w:szCs w:val="24"/>
                <w:lang w:eastAsia="lv-LV"/>
              </w:rPr>
              <w:lastRenderedPageBreak/>
              <w:t xml:space="preserve">piemēram </w:t>
            </w:r>
            <w:r w:rsidR="00E537C2" w:rsidRPr="00690EB9">
              <w:rPr>
                <w:rFonts w:ascii="Times New Roman" w:eastAsia="Times New Roman" w:hAnsi="Times New Roman" w:cs="Times New Roman"/>
                <w:iCs/>
                <w:sz w:val="24"/>
                <w:szCs w:val="24"/>
                <w:lang w:eastAsia="lv-LV"/>
              </w:rPr>
              <w:t>Apdrošināšanas un</w:t>
            </w:r>
            <w:r w:rsidR="00E537C2">
              <w:rPr>
                <w:rFonts w:ascii="Times New Roman" w:eastAsia="Times New Roman" w:hAnsi="Times New Roman" w:cs="Times New Roman"/>
                <w:iCs/>
                <w:sz w:val="24"/>
                <w:szCs w:val="24"/>
                <w:lang w:eastAsia="lv-LV"/>
              </w:rPr>
              <w:t xml:space="preserve"> </w:t>
            </w:r>
            <w:r w:rsidR="00E537C2" w:rsidRPr="00690EB9">
              <w:rPr>
                <w:rFonts w:ascii="Times New Roman" w:eastAsia="Times New Roman" w:hAnsi="Times New Roman" w:cs="Times New Roman"/>
                <w:iCs/>
                <w:sz w:val="24"/>
                <w:szCs w:val="24"/>
                <w:lang w:eastAsia="lv-LV"/>
              </w:rPr>
              <w:t> pārapdrošināšanas likum</w:t>
            </w:r>
            <w:r w:rsidR="00E537C2">
              <w:rPr>
                <w:rFonts w:ascii="Times New Roman" w:eastAsia="Times New Roman" w:hAnsi="Times New Roman" w:cs="Times New Roman"/>
                <w:iCs/>
                <w:sz w:val="24"/>
                <w:szCs w:val="24"/>
                <w:lang w:eastAsia="lv-LV"/>
              </w:rPr>
              <w:t xml:space="preserve">ā. </w:t>
            </w:r>
          </w:p>
          <w:p w:rsidR="00581202" w:rsidRPr="00473F49" w:rsidRDefault="000A454E" w:rsidP="0058120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NILLTFNL</w:t>
            </w:r>
            <w:r w:rsidRPr="00473F49">
              <w:rPr>
                <w:rFonts w:ascii="Times New Roman" w:eastAsia="Times New Roman" w:hAnsi="Times New Roman" w:cs="Times New Roman"/>
                <w:iCs/>
                <w:sz w:val="24"/>
                <w:szCs w:val="24"/>
                <w:lang w:eastAsia="lv-LV"/>
              </w:rPr>
              <w:t xml:space="preserve"> </w:t>
            </w:r>
            <w:r w:rsidR="00581202" w:rsidRPr="00473F49">
              <w:rPr>
                <w:rFonts w:ascii="Times New Roman" w:eastAsia="Times New Roman" w:hAnsi="Times New Roman" w:cs="Times New Roman"/>
                <w:iCs/>
                <w:sz w:val="24"/>
                <w:szCs w:val="24"/>
                <w:lang w:eastAsia="lv-LV"/>
              </w:rPr>
              <w:t>subjekts</w:t>
            </w:r>
            <w:r w:rsidR="009734B2">
              <w:rPr>
                <w:rFonts w:ascii="Times New Roman" w:eastAsia="Times New Roman" w:hAnsi="Times New Roman" w:cs="Times New Roman"/>
                <w:iCs/>
                <w:sz w:val="24"/>
                <w:szCs w:val="24"/>
                <w:lang w:eastAsia="lv-LV"/>
              </w:rPr>
              <w:t>, ieviešot neklātienes identifikāciju,</w:t>
            </w:r>
            <w:r w:rsidR="00581202" w:rsidRPr="00473F49">
              <w:rPr>
                <w:rFonts w:ascii="Times New Roman" w:eastAsia="Times New Roman" w:hAnsi="Times New Roman" w:cs="Times New Roman"/>
                <w:iCs/>
                <w:sz w:val="24"/>
                <w:szCs w:val="24"/>
                <w:lang w:eastAsia="lv-LV"/>
              </w:rPr>
              <w:t xml:space="preserve"> ir tiesīgs izmantot ārpakalpojumu sniedzējus, kā arī resursus </w:t>
            </w:r>
            <w:r w:rsidR="00217413" w:rsidRPr="00473F49">
              <w:rPr>
                <w:rFonts w:ascii="Times New Roman" w:eastAsia="Times New Roman" w:hAnsi="Times New Roman" w:cs="Times New Roman"/>
                <w:iCs/>
                <w:sz w:val="24"/>
                <w:szCs w:val="24"/>
                <w:lang w:eastAsia="lv-LV"/>
              </w:rPr>
              <w:t>komercsabiedrību grupas</w:t>
            </w:r>
            <w:r w:rsidR="00245F0B">
              <w:rPr>
                <w:rFonts w:ascii="Times New Roman" w:eastAsia="Times New Roman" w:hAnsi="Times New Roman" w:cs="Times New Roman"/>
                <w:iCs/>
                <w:sz w:val="24"/>
                <w:szCs w:val="24"/>
                <w:lang w:eastAsia="lv-LV"/>
              </w:rPr>
              <w:t xml:space="preserve"> (atbilstoši NILLTFNL 1.panta 2.</w:t>
            </w:r>
            <w:r w:rsidR="00245F0B">
              <w:rPr>
                <w:rFonts w:ascii="Times New Roman" w:eastAsia="Times New Roman" w:hAnsi="Times New Roman" w:cs="Times New Roman"/>
                <w:iCs/>
                <w:sz w:val="24"/>
                <w:szCs w:val="24"/>
                <w:vertAlign w:val="superscript"/>
                <w:lang w:eastAsia="lv-LV"/>
              </w:rPr>
              <w:t xml:space="preserve">1 </w:t>
            </w:r>
            <w:r w:rsidR="00245F0B">
              <w:rPr>
                <w:rFonts w:ascii="Times New Roman" w:eastAsia="Times New Roman" w:hAnsi="Times New Roman" w:cs="Times New Roman"/>
                <w:iCs/>
                <w:sz w:val="24"/>
                <w:szCs w:val="24"/>
                <w:lang w:eastAsia="lv-LV"/>
              </w:rPr>
              <w:t>punkta izpratnē)</w:t>
            </w:r>
            <w:r w:rsidR="00581202" w:rsidRPr="00473F49">
              <w:rPr>
                <w:rFonts w:ascii="Times New Roman" w:eastAsia="Times New Roman" w:hAnsi="Times New Roman" w:cs="Times New Roman"/>
                <w:iCs/>
                <w:sz w:val="24"/>
                <w:szCs w:val="24"/>
                <w:lang w:eastAsia="lv-LV"/>
              </w:rPr>
              <w:t xml:space="preserve"> ietvaros, kurā viņš ietilpst. </w:t>
            </w:r>
          </w:p>
          <w:p w:rsidR="00581202" w:rsidRPr="00473F49" w:rsidRDefault="000A454E" w:rsidP="0058120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581202" w:rsidRPr="00473F49">
              <w:rPr>
                <w:rFonts w:ascii="Times New Roman" w:eastAsia="Times New Roman" w:hAnsi="Times New Roman" w:cs="Times New Roman"/>
                <w:iCs/>
                <w:sz w:val="24"/>
                <w:szCs w:val="24"/>
                <w:lang w:eastAsia="lv-LV"/>
              </w:rPr>
              <w:t xml:space="preserve">oteikumu projekts paredz tikai pamatprincipus, bet detalizēts regulējums ietverams </w:t>
            </w:r>
            <w:r>
              <w:rPr>
                <w:rFonts w:ascii="Times New Roman" w:eastAsia="Times New Roman" w:hAnsi="Times New Roman" w:cs="Times New Roman"/>
                <w:iCs/>
                <w:sz w:val="24"/>
                <w:szCs w:val="24"/>
                <w:lang w:eastAsia="lv-LV"/>
              </w:rPr>
              <w:t>NILLTFNL</w:t>
            </w:r>
            <w:r w:rsidRPr="00473F49">
              <w:rPr>
                <w:rFonts w:ascii="Times New Roman" w:eastAsia="Times New Roman" w:hAnsi="Times New Roman" w:cs="Times New Roman"/>
                <w:iCs/>
                <w:sz w:val="24"/>
                <w:szCs w:val="24"/>
                <w:lang w:eastAsia="lv-LV"/>
              </w:rPr>
              <w:t xml:space="preserve"> </w:t>
            </w:r>
            <w:r w:rsidR="00581202" w:rsidRPr="00473F49">
              <w:rPr>
                <w:rFonts w:ascii="Times New Roman" w:eastAsia="Times New Roman" w:hAnsi="Times New Roman" w:cs="Times New Roman"/>
                <w:iCs/>
                <w:sz w:val="24"/>
                <w:szCs w:val="24"/>
                <w:lang w:eastAsia="lv-LV"/>
              </w:rPr>
              <w:t>subjektu politikās un procedūrās, lai neiejauktos un neregulētu gadījumus, kas individuāli risināmi saskaņā ar NILLTFN</w:t>
            </w:r>
            <w:r>
              <w:rPr>
                <w:rFonts w:ascii="Times New Roman" w:eastAsia="Times New Roman" w:hAnsi="Times New Roman" w:cs="Times New Roman"/>
                <w:iCs/>
                <w:sz w:val="24"/>
                <w:szCs w:val="24"/>
                <w:lang w:eastAsia="lv-LV"/>
              </w:rPr>
              <w:t xml:space="preserve">L </w:t>
            </w:r>
            <w:r w:rsidR="00581202" w:rsidRPr="00473F49">
              <w:rPr>
                <w:rFonts w:ascii="Times New Roman" w:eastAsia="Times New Roman" w:hAnsi="Times New Roman" w:cs="Times New Roman"/>
                <w:iCs/>
                <w:sz w:val="24"/>
                <w:szCs w:val="24"/>
                <w:lang w:eastAsia="lv-LV"/>
              </w:rPr>
              <w:t xml:space="preserve"> paredzēto uz risku balstīto pieeju. </w:t>
            </w:r>
          </w:p>
          <w:p w:rsidR="00581202" w:rsidRPr="00473F49" w:rsidRDefault="000A454E" w:rsidP="0058120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581202" w:rsidRPr="00473F49">
              <w:rPr>
                <w:rFonts w:ascii="Times New Roman" w:eastAsia="Times New Roman" w:hAnsi="Times New Roman" w:cs="Times New Roman"/>
                <w:iCs/>
                <w:sz w:val="24"/>
                <w:szCs w:val="24"/>
                <w:lang w:eastAsia="lv-LV"/>
              </w:rPr>
              <w:t xml:space="preserve">oteikumu projekts neparedz  pienākumu klientu identificēt neklātienē. Klientus, to grupas, klientu rezidences valstis un pakalpojumus, kam šie noteikumi var tikt piemēroti, izraugās pats </w:t>
            </w:r>
            <w:r w:rsidR="00DF12BC">
              <w:rPr>
                <w:rFonts w:ascii="Times New Roman" w:eastAsia="Times New Roman" w:hAnsi="Times New Roman" w:cs="Times New Roman"/>
                <w:iCs/>
                <w:sz w:val="24"/>
                <w:szCs w:val="24"/>
                <w:lang w:eastAsia="lv-LV"/>
              </w:rPr>
              <w:t>NILLTFNL</w:t>
            </w:r>
            <w:r w:rsidR="00DF12BC" w:rsidRPr="00473F49">
              <w:rPr>
                <w:rFonts w:ascii="Times New Roman" w:eastAsia="Times New Roman" w:hAnsi="Times New Roman" w:cs="Times New Roman"/>
                <w:iCs/>
                <w:sz w:val="24"/>
                <w:szCs w:val="24"/>
                <w:lang w:eastAsia="lv-LV"/>
              </w:rPr>
              <w:t xml:space="preserve"> </w:t>
            </w:r>
            <w:r w:rsidR="00581202" w:rsidRPr="00473F49">
              <w:rPr>
                <w:rFonts w:ascii="Times New Roman" w:eastAsia="Times New Roman" w:hAnsi="Times New Roman" w:cs="Times New Roman"/>
                <w:iCs/>
                <w:sz w:val="24"/>
                <w:szCs w:val="24"/>
                <w:lang w:eastAsia="lv-LV"/>
              </w:rPr>
              <w:t>subjekts, novērtējot riskus katrā konkrētā situācijā atbilstoši NILLTFN</w:t>
            </w:r>
            <w:r w:rsidR="00DF12BC">
              <w:rPr>
                <w:rFonts w:ascii="Times New Roman" w:eastAsia="Times New Roman" w:hAnsi="Times New Roman" w:cs="Times New Roman"/>
                <w:iCs/>
                <w:sz w:val="24"/>
                <w:szCs w:val="24"/>
                <w:lang w:eastAsia="lv-LV"/>
              </w:rPr>
              <w:t xml:space="preserve">L </w:t>
            </w:r>
            <w:r w:rsidR="00581202" w:rsidRPr="00473F49">
              <w:rPr>
                <w:rFonts w:ascii="Times New Roman" w:eastAsia="Times New Roman" w:hAnsi="Times New Roman" w:cs="Times New Roman"/>
                <w:iCs/>
                <w:sz w:val="24"/>
                <w:szCs w:val="24"/>
                <w:lang w:eastAsia="lv-LV"/>
              </w:rPr>
              <w:t xml:space="preserve"> normām. </w:t>
            </w:r>
          </w:p>
          <w:p w:rsidR="00581202" w:rsidRPr="00473F49" w:rsidRDefault="00DF12BC" w:rsidP="00DF12B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581202" w:rsidRPr="00473F49">
              <w:rPr>
                <w:rFonts w:ascii="Times New Roman" w:eastAsia="Times New Roman" w:hAnsi="Times New Roman" w:cs="Times New Roman"/>
                <w:iCs/>
                <w:sz w:val="24"/>
                <w:szCs w:val="24"/>
                <w:lang w:eastAsia="lv-LV"/>
              </w:rPr>
              <w:t xml:space="preserve">oteikumu projekts ierobežo atsevišķu </w:t>
            </w:r>
            <w:r>
              <w:rPr>
                <w:rFonts w:ascii="Times New Roman" w:eastAsia="Times New Roman" w:hAnsi="Times New Roman" w:cs="Times New Roman"/>
                <w:iCs/>
                <w:sz w:val="24"/>
                <w:szCs w:val="24"/>
                <w:lang w:eastAsia="lv-LV"/>
              </w:rPr>
              <w:t xml:space="preserve">klienta </w:t>
            </w:r>
            <w:r w:rsidR="00581202" w:rsidRPr="00473F49">
              <w:rPr>
                <w:rFonts w:ascii="Times New Roman" w:eastAsia="Times New Roman" w:hAnsi="Times New Roman" w:cs="Times New Roman"/>
                <w:iCs/>
                <w:sz w:val="24"/>
                <w:szCs w:val="24"/>
                <w:lang w:eastAsia="lv-LV"/>
              </w:rPr>
              <w:t>neklātienes identifikācijas metožu piemērošanu, piemēram, augsta riska jurisdikciju klientu gadījumā (piemēram, virkne NVS valstu) vai kredītiestādēm – noteiktu grupu klientiem, ņemot vērā viņu biznesa modeli (azartspēļu organizēšana, valūtas maiņa). Identificēšanas gadījumā ar maksājuma starpniecību noteikts, ka nedrīkst pieļau</w:t>
            </w:r>
            <w:r>
              <w:rPr>
                <w:rFonts w:ascii="Times New Roman" w:eastAsia="Times New Roman" w:hAnsi="Times New Roman" w:cs="Times New Roman"/>
                <w:iCs/>
                <w:sz w:val="24"/>
                <w:szCs w:val="24"/>
                <w:lang w:eastAsia="lv-LV"/>
              </w:rPr>
              <w:t>t</w:t>
            </w:r>
            <w:r w:rsidR="00581202" w:rsidRPr="00473F49">
              <w:rPr>
                <w:rFonts w:ascii="Times New Roman" w:eastAsia="Times New Roman" w:hAnsi="Times New Roman" w:cs="Times New Roman"/>
                <w:iCs/>
                <w:sz w:val="24"/>
                <w:szCs w:val="24"/>
                <w:lang w:eastAsia="lv-LV"/>
              </w:rPr>
              <w:t xml:space="preserve"> tālāku neklātienes identificēšanu </w:t>
            </w:r>
            <w:r w:rsidR="0094231B">
              <w:rPr>
                <w:rFonts w:ascii="Times New Roman" w:eastAsia="Times New Roman" w:hAnsi="Times New Roman" w:cs="Times New Roman"/>
                <w:iCs/>
                <w:sz w:val="24"/>
                <w:szCs w:val="24"/>
                <w:lang w:eastAsia="lv-LV"/>
              </w:rPr>
              <w:t xml:space="preserve">ar cita </w:t>
            </w:r>
            <w:r>
              <w:rPr>
                <w:rFonts w:ascii="Times New Roman" w:eastAsia="Times New Roman" w:hAnsi="Times New Roman" w:cs="Times New Roman"/>
                <w:iCs/>
                <w:sz w:val="24"/>
                <w:szCs w:val="24"/>
                <w:lang w:eastAsia="lv-LV"/>
              </w:rPr>
              <w:t xml:space="preserve">NILLTFNL </w:t>
            </w:r>
            <w:r w:rsidR="0094231B">
              <w:rPr>
                <w:rFonts w:ascii="Times New Roman" w:eastAsia="Times New Roman" w:hAnsi="Times New Roman" w:cs="Times New Roman"/>
                <w:iCs/>
                <w:sz w:val="24"/>
                <w:szCs w:val="24"/>
                <w:lang w:eastAsia="lv-LV"/>
              </w:rPr>
              <w:t>subjekta starpniecību</w:t>
            </w:r>
            <w:r w:rsidR="00581202" w:rsidRPr="00473F49">
              <w:rPr>
                <w:rFonts w:ascii="Times New Roman" w:eastAsia="Times New Roman" w:hAnsi="Times New Roman" w:cs="Times New Roman"/>
                <w:iCs/>
                <w:sz w:val="24"/>
                <w:szCs w:val="24"/>
                <w:lang w:eastAsia="lv-LV"/>
              </w:rPr>
              <w:t xml:space="preserve">, proti, neklātienes identifikāciju ar maksājuma starpniecību nevar izmantot, lai atvērtu maksājumu kontu citā bankā, no kura var veikt izejošos maksājumus. </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473F4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581202" w:rsidRDefault="00581202" w:rsidP="0094231B">
            <w:pPr>
              <w:spacing w:after="0" w:line="240" w:lineRule="auto"/>
              <w:rPr>
                <w:rFonts w:ascii="Times New Roman" w:eastAsia="Times New Roman" w:hAnsi="Times New Roman" w:cs="Times New Roman"/>
                <w:iCs/>
                <w:color w:val="414142"/>
                <w:sz w:val="24"/>
                <w:szCs w:val="24"/>
                <w:lang w:eastAsia="lv-LV"/>
              </w:rPr>
            </w:pPr>
            <w:r w:rsidRPr="00473F49">
              <w:rPr>
                <w:rFonts w:ascii="Times New Roman" w:eastAsia="Times New Roman" w:hAnsi="Times New Roman" w:cs="Times New Roman"/>
                <w:iCs/>
                <w:sz w:val="24"/>
                <w:szCs w:val="24"/>
                <w:lang w:eastAsia="lv-LV"/>
              </w:rPr>
              <w:t xml:space="preserve">Par </w:t>
            </w:r>
            <w:r w:rsidR="0051093B" w:rsidRPr="00473F49">
              <w:rPr>
                <w:rFonts w:ascii="Times New Roman" w:eastAsia="Times New Roman" w:hAnsi="Times New Roman" w:cs="Times New Roman"/>
                <w:iCs/>
                <w:sz w:val="24"/>
                <w:szCs w:val="24"/>
                <w:lang w:eastAsia="lv-LV"/>
              </w:rPr>
              <w:t xml:space="preserve">MK </w:t>
            </w:r>
            <w:r w:rsidR="0094231B">
              <w:rPr>
                <w:rFonts w:ascii="Times New Roman" w:eastAsia="Times New Roman" w:hAnsi="Times New Roman" w:cs="Times New Roman"/>
                <w:iCs/>
                <w:sz w:val="24"/>
                <w:szCs w:val="24"/>
                <w:lang w:eastAsia="lv-LV"/>
              </w:rPr>
              <w:t>n</w:t>
            </w:r>
            <w:r w:rsidRPr="00473F49">
              <w:rPr>
                <w:rFonts w:ascii="Times New Roman" w:eastAsia="Times New Roman" w:hAnsi="Times New Roman" w:cs="Times New Roman"/>
                <w:iCs/>
                <w:sz w:val="24"/>
                <w:szCs w:val="24"/>
                <w:lang w:eastAsia="lv-LV"/>
              </w:rPr>
              <w:t>oteikumu izstrādi atbildīgā institūcija ir Finanšu ministrija</w:t>
            </w:r>
            <w:r w:rsidR="0051093B" w:rsidRPr="00473F49">
              <w:rPr>
                <w:rFonts w:ascii="Times New Roman" w:eastAsia="Times New Roman" w:hAnsi="Times New Roman" w:cs="Times New Roman"/>
                <w:iCs/>
                <w:sz w:val="24"/>
                <w:szCs w:val="24"/>
                <w:lang w:eastAsia="lv-LV"/>
              </w:rPr>
              <w:t>.</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473F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473F4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960A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51093B" w:rsidRDefault="00E5323B" w:rsidP="001B6A66">
            <w:pPr>
              <w:spacing w:after="0" w:line="240" w:lineRule="auto"/>
              <w:jc w:val="center"/>
              <w:rPr>
                <w:rFonts w:ascii="Times New Roman" w:eastAsia="Times New Roman" w:hAnsi="Times New Roman" w:cs="Times New Roman"/>
                <w:iCs/>
                <w:color w:val="414142"/>
                <w:sz w:val="24"/>
                <w:szCs w:val="24"/>
                <w:lang w:eastAsia="lv-LV"/>
              </w:rPr>
            </w:pPr>
            <w:r w:rsidRPr="0094231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Sabiedrības </w:t>
            </w:r>
            <w:proofErr w:type="spellStart"/>
            <w:r w:rsidRPr="00473F49">
              <w:rPr>
                <w:rFonts w:ascii="Times New Roman" w:eastAsia="Times New Roman" w:hAnsi="Times New Roman" w:cs="Times New Roman"/>
                <w:iCs/>
                <w:sz w:val="24"/>
                <w:szCs w:val="24"/>
                <w:lang w:eastAsia="lv-LV"/>
              </w:rPr>
              <w:t>mērķgrupas</w:t>
            </w:r>
            <w:proofErr w:type="spellEnd"/>
            <w:r w:rsidRPr="00473F49">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1093B" w:rsidRPr="00473F49" w:rsidRDefault="0027270A" w:rsidP="005109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NILLTFNL</w:t>
            </w:r>
            <w:r w:rsidRPr="00473F49">
              <w:rPr>
                <w:rFonts w:ascii="Times New Roman" w:eastAsia="Times New Roman" w:hAnsi="Times New Roman" w:cs="Times New Roman"/>
                <w:iCs/>
                <w:sz w:val="24"/>
                <w:szCs w:val="24"/>
                <w:lang w:eastAsia="lv-LV"/>
              </w:rPr>
              <w:t xml:space="preserve"> </w:t>
            </w:r>
            <w:r w:rsidR="0051093B" w:rsidRPr="00473F49">
              <w:rPr>
                <w:rFonts w:ascii="Times New Roman" w:eastAsia="Times New Roman" w:hAnsi="Times New Roman" w:cs="Times New Roman"/>
                <w:iCs/>
                <w:sz w:val="24"/>
                <w:szCs w:val="24"/>
                <w:lang w:eastAsia="lv-LV"/>
              </w:rPr>
              <w:t>subjekti, kuri izmantos kā alternatīvo iespēju klienta neklātienes identifikāciju.</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7E2CC4" w:rsidP="007E2CC4">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MK noteikumu projekts veicinās jaunu un inovatīvu tehnisko risinājumu radīšanu, lai padarītu pēc iespējas efektīvāku esošo biznesu un dotu iespēju izveidot jaunus produktus un uzņēmumus.</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102F05"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Nav attiecināms.</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102F05"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Nav attiecināms.</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F110E9"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Nav</w:t>
            </w:r>
            <w:r w:rsidR="00473F49">
              <w:rPr>
                <w:rFonts w:ascii="Times New Roman" w:eastAsia="Times New Roman" w:hAnsi="Times New Roman" w:cs="Times New Roman"/>
                <w:iCs/>
                <w:sz w:val="24"/>
                <w:szCs w:val="24"/>
                <w:lang w:eastAsia="lv-LV"/>
              </w:rPr>
              <w:t>.</w:t>
            </w:r>
          </w:p>
        </w:tc>
      </w:tr>
    </w:tbl>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60A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960A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473F49">
              <w:rPr>
                <w:rFonts w:ascii="Times New Roman" w:eastAsia="Times New Roman" w:hAnsi="Times New Roman" w:cs="Times New Roman"/>
                <w:b/>
                <w:bCs/>
                <w:iCs/>
                <w:sz w:val="24"/>
                <w:szCs w:val="24"/>
                <w:lang w:eastAsia="lv-LV"/>
              </w:rPr>
              <w:t>III. Tiesību akta projekta ietekme uz valsts budžetu un pašvaldību budžetiem</w:t>
            </w:r>
          </w:p>
        </w:tc>
      </w:tr>
      <w:tr w:rsidR="001B6A66" w:rsidRPr="008960A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960A2"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473F49">
              <w:rPr>
                <w:rFonts w:ascii="Times New Roman" w:eastAsia="Times New Roman" w:hAnsi="Times New Roman" w:cs="Times New Roman"/>
                <w:bCs/>
                <w:iCs/>
                <w:sz w:val="24"/>
                <w:szCs w:val="24"/>
                <w:lang w:eastAsia="lv-LV"/>
              </w:rPr>
              <w:t>Projekts šo jomu neskar</w:t>
            </w:r>
            <w:r w:rsidR="00473F49">
              <w:rPr>
                <w:rFonts w:ascii="Times New Roman" w:eastAsia="Times New Roman" w:hAnsi="Times New Roman" w:cs="Times New Roman"/>
                <w:bCs/>
                <w:iCs/>
                <w:sz w:val="24"/>
                <w:szCs w:val="24"/>
                <w:lang w:eastAsia="lv-LV"/>
              </w:rPr>
              <w:t>.</w:t>
            </w:r>
          </w:p>
        </w:tc>
      </w:tr>
    </w:tbl>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60A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473F4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73F49">
              <w:rPr>
                <w:rFonts w:ascii="Times New Roman" w:eastAsia="Times New Roman" w:hAnsi="Times New Roman" w:cs="Times New Roman"/>
                <w:b/>
                <w:bCs/>
                <w:iCs/>
                <w:sz w:val="24"/>
                <w:szCs w:val="24"/>
                <w:lang w:eastAsia="lv-LV"/>
              </w:rPr>
              <w:t>IV. Tiesību akta projekta ietekme uz spēkā esošo tiesību normu sistēmu</w:t>
            </w:r>
          </w:p>
        </w:tc>
      </w:tr>
      <w:tr w:rsidR="001B6A66" w:rsidRPr="008960A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960A2"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473F49">
              <w:rPr>
                <w:rFonts w:ascii="Times New Roman" w:eastAsia="Times New Roman" w:hAnsi="Times New Roman" w:cs="Times New Roman"/>
                <w:bCs/>
                <w:iCs/>
                <w:sz w:val="24"/>
                <w:szCs w:val="24"/>
                <w:lang w:eastAsia="lv-LV"/>
              </w:rPr>
              <w:t>Projekts šo jomu neskar</w:t>
            </w:r>
            <w:r w:rsidR="00473F49">
              <w:rPr>
                <w:rFonts w:ascii="Times New Roman" w:eastAsia="Times New Roman" w:hAnsi="Times New Roman" w:cs="Times New Roman"/>
                <w:bCs/>
                <w:iCs/>
                <w:sz w:val="24"/>
                <w:szCs w:val="24"/>
                <w:lang w:eastAsia="lv-LV"/>
              </w:rPr>
              <w:t>.</w:t>
            </w:r>
          </w:p>
        </w:tc>
      </w:tr>
    </w:tbl>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60A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960A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473F4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B6A66" w:rsidRPr="008960A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473F49" w:rsidRDefault="001B6A66" w:rsidP="001B6A66">
            <w:pPr>
              <w:spacing w:after="0" w:line="240" w:lineRule="auto"/>
              <w:jc w:val="center"/>
              <w:rPr>
                <w:rFonts w:ascii="Times New Roman" w:eastAsia="Times New Roman" w:hAnsi="Times New Roman" w:cs="Times New Roman"/>
                <w:bCs/>
                <w:iCs/>
                <w:sz w:val="24"/>
                <w:szCs w:val="24"/>
                <w:lang w:eastAsia="lv-LV"/>
              </w:rPr>
            </w:pPr>
            <w:r w:rsidRPr="00473F49">
              <w:rPr>
                <w:rFonts w:ascii="Times New Roman" w:eastAsia="Times New Roman" w:hAnsi="Times New Roman" w:cs="Times New Roman"/>
                <w:bCs/>
                <w:iCs/>
                <w:sz w:val="24"/>
                <w:szCs w:val="24"/>
                <w:lang w:eastAsia="lv-LV"/>
              </w:rPr>
              <w:t>Projekts šo jomu neskar</w:t>
            </w:r>
            <w:r w:rsidR="00473F49">
              <w:rPr>
                <w:rFonts w:ascii="Times New Roman" w:eastAsia="Times New Roman" w:hAnsi="Times New Roman" w:cs="Times New Roman"/>
                <w:bCs/>
                <w:iCs/>
                <w:sz w:val="24"/>
                <w:szCs w:val="24"/>
                <w:lang w:eastAsia="lv-LV"/>
              </w:rPr>
              <w:t>.</w:t>
            </w:r>
          </w:p>
        </w:tc>
      </w:tr>
    </w:tbl>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960A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960A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473F49">
              <w:rPr>
                <w:rFonts w:ascii="Times New Roman" w:eastAsia="Times New Roman" w:hAnsi="Times New Roman" w:cs="Times New Roman"/>
                <w:b/>
                <w:bCs/>
                <w:iCs/>
                <w:sz w:val="24"/>
                <w:szCs w:val="24"/>
                <w:lang w:eastAsia="lv-LV"/>
              </w:rPr>
              <w:t>VI. Sabiedrības līdzdalība un komunikācijas aktivitātes</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B31F26" w:rsidP="00810655">
            <w:pPr>
              <w:jc w:val="both"/>
              <w:rPr>
                <w:rFonts w:cs="Times New Roman"/>
                <w:sz w:val="28"/>
                <w:szCs w:val="28"/>
              </w:rPr>
            </w:pPr>
            <w:r w:rsidRPr="00473F49">
              <w:rPr>
                <w:rFonts w:ascii="Times New Roman" w:eastAsia="Times New Roman" w:hAnsi="Times New Roman" w:cs="Times New Roman"/>
                <w:iCs/>
                <w:sz w:val="24"/>
                <w:szCs w:val="24"/>
                <w:lang w:eastAsia="lv-LV"/>
              </w:rPr>
              <w:t>MK noteikumu projekta izstrāde notika sadarbībā ar Latvijas Komercbanku asociāciju</w:t>
            </w:r>
            <w:r w:rsidR="00810655" w:rsidRPr="00473F49">
              <w:rPr>
                <w:rFonts w:ascii="Times New Roman" w:eastAsia="Times New Roman" w:hAnsi="Times New Roman" w:cs="Times New Roman"/>
                <w:iCs/>
                <w:sz w:val="24"/>
                <w:szCs w:val="24"/>
                <w:lang w:eastAsia="lv-LV"/>
              </w:rPr>
              <w:t>, Latvijas Līzinga devēju asociāciju, Latvijas Alternatīvo finanšu pakalpojumu asociāciju un Latvijas Apdrošinātāju asociāciju</w:t>
            </w:r>
            <w:r w:rsidR="00E95FEF">
              <w:rPr>
                <w:rFonts w:ascii="Times New Roman" w:eastAsia="Times New Roman" w:hAnsi="Times New Roman" w:cs="Times New Roman"/>
                <w:iCs/>
                <w:sz w:val="24"/>
                <w:szCs w:val="24"/>
                <w:lang w:eastAsia="lv-LV"/>
              </w:rPr>
              <w:t xml:space="preserve">, </w:t>
            </w:r>
            <w:r w:rsidR="00E95FEF" w:rsidRPr="00473F49">
              <w:rPr>
                <w:rFonts w:ascii="Times New Roman" w:eastAsia="Times New Roman" w:hAnsi="Times New Roman" w:cs="Times New Roman"/>
                <w:iCs/>
                <w:sz w:val="24"/>
                <w:szCs w:val="24"/>
                <w:lang w:eastAsia="lv-LV"/>
              </w:rPr>
              <w:t>Fin</w:t>
            </w:r>
            <w:r w:rsidR="00E95FEF">
              <w:rPr>
                <w:rFonts w:ascii="Times New Roman" w:eastAsia="Times New Roman" w:hAnsi="Times New Roman" w:cs="Times New Roman"/>
                <w:iCs/>
                <w:sz w:val="24"/>
                <w:szCs w:val="24"/>
                <w:lang w:eastAsia="lv-LV"/>
              </w:rPr>
              <w:t>anšu un kapitāla tirgus komisiju.</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15282E" w:rsidP="00690EB9">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Notikusi iepriekšējā punktā minētā komunikācija</w:t>
            </w:r>
            <w:r w:rsidR="00E95FEF">
              <w:rPr>
                <w:rFonts w:ascii="Times New Roman" w:eastAsia="Times New Roman" w:hAnsi="Times New Roman" w:cs="Times New Roman"/>
                <w:iCs/>
                <w:sz w:val="24"/>
                <w:szCs w:val="24"/>
                <w:lang w:eastAsia="lv-LV"/>
              </w:rPr>
              <w:t>.</w:t>
            </w:r>
          </w:p>
          <w:p w:rsidR="00E95FEF" w:rsidRPr="00473F49" w:rsidRDefault="00E95FEF" w:rsidP="0043557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Pirms izsludināšanas Ministru kabinetā MK noteikumu projekts tika izsūtīts </w:t>
            </w:r>
            <w:r w:rsidR="009E4E7E" w:rsidRPr="00690EB9">
              <w:rPr>
                <w:rFonts w:ascii="Times New Roman" w:eastAsia="Times New Roman" w:hAnsi="Times New Roman" w:cs="Times New Roman"/>
                <w:iCs/>
                <w:sz w:val="24"/>
                <w:szCs w:val="24"/>
                <w:lang w:eastAsia="lv-LV"/>
              </w:rPr>
              <w:t>Latvijas komercbanku asociācijai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tirdzniecības un rūpniecības kamerai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zvērinātu revidentu asociācijai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Apdrošinātāju asociācijai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Profesionālo apdrošināšanas brokeru asociācijai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Zvērinātu advokātu padomei</w:t>
            </w:r>
            <w:r w:rsidR="009E4E7E" w:rsidRP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Zvērinātu notāru padomei</w:t>
            </w:r>
            <w:r w:rsidR="00435578">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Līzingu devēju asociācijai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 xml:space="preserve"> Latvijas Alternatīvo finanšu pakalpojumu asociācijai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Maksājumu pakalpojumu un elektroniskās naudas iestāžu asociācijai</w:t>
            </w:r>
            <w:r w:rsidR="009E4E7E">
              <w:rPr>
                <w:rFonts w:ascii="Times New Roman" w:eastAsia="Times New Roman" w:hAnsi="Times New Roman" w:cs="Times New Roman"/>
                <w:iCs/>
                <w:sz w:val="24"/>
                <w:szCs w:val="24"/>
                <w:lang w:eastAsia="lv-LV"/>
              </w:rPr>
              <w:t>,</w:t>
            </w:r>
            <w:r w:rsidR="009E4E7E" w:rsidRPr="00690EB9">
              <w:rPr>
                <w:rFonts w:ascii="Times New Roman" w:eastAsia="Times New Roman" w:hAnsi="Times New Roman" w:cs="Times New Roman"/>
                <w:iCs/>
                <w:sz w:val="24"/>
                <w:szCs w:val="24"/>
                <w:lang w:eastAsia="lv-LV"/>
              </w:rPr>
              <w:t xml:space="preserve"> Latvijas kooperatīvo </w:t>
            </w:r>
            <w:proofErr w:type="spellStart"/>
            <w:r w:rsidR="009E4E7E" w:rsidRPr="00690EB9">
              <w:rPr>
                <w:rFonts w:ascii="Times New Roman" w:eastAsia="Times New Roman" w:hAnsi="Times New Roman" w:cs="Times New Roman"/>
                <w:iCs/>
                <w:sz w:val="24"/>
                <w:szCs w:val="24"/>
                <w:lang w:eastAsia="lv-LV"/>
              </w:rPr>
              <w:t>krājaizdevu</w:t>
            </w:r>
            <w:proofErr w:type="spellEnd"/>
            <w:r w:rsidR="009E4E7E" w:rsidRPr="00690EB9">
              <w:rPr>
                <w:rFonts w:ascii="Times New Roman" w:eastAsia="Times New Roman" w:hAnsi="Times New Roman" w:cs="Times New Roman"/>
                <w:iCs/>
                <w:sz w:val="24"/>
                <w:szCs w:val="24"/>
                <w:lang w:eastAsia="lv-LV"/>
              </w:rPr>
              <w:t xml:space="preserve"> sabiedrību savienībai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Republikas Grāmatvežu asociācijai</w:t>
            </w:r>
            <w:r w:rsidR="009E4E7E">
              <w:rPr>
                <w:rFonts w:ascii="Times New Roman" w:eastAsia="Times New Roman" w:hAnsi="Times New Roman" w:cs="Times New Roman"/>
                <w:iCs/>
                <w:sz w:val="24"/>
                <w:szCs w:val="24"/>
                <w:lang w:eastAsia="lv-LV"/>
              </w:rPr>
              <w:t xml:space="preserve">, </w:t>
            </w:r>
            <w:r w:rsidR="009E4E7E" w:rsidRPr="00690EB9">
              <w:rPr>
                <w:rFonts w:ascii="Times New Roman" w:eastAsia="Times New Roman" w:hAnsi="Times New Roman" w:cs="Times New Roman"/>
                <w:iCs/>
                <w:sz w:val="24"/>
                <w:szCs w:val="24"/>
                <w:lang w:eastAsia="lv-LV"/>
              </w:rPr>
              <w:t>Latvijas Spēļu biznesa asociācijai</w:t>
            </w:r>
            <w:r w:rsidR="000850CC">
              <w:rPr>
                <w:rFonts w:ascii="Times New Roman" w:eastAsia="Times New Roman" w:hAnsi="Times New Roman" w:cs="Times New Roman"/>
                <w:iCs/>
                <w:sz w:val="24"/>
                <w:szCs w:val="24"/>
                <w:lang w:eastAsia="lv-LV"/>
              </w:rPr>
              <w:t>.</w:t>
            </w:r>
          </w:p>
        </w:tc>
        <w:bookmarkStart w:id="1" w:name="_GoBack"/>
        <w:bookmarkEnd w:id="1"/>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15282E" w:rsidP="0015282E">
            <w:pPr>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 xml:space="preserve">MK noteikumu projektā piedāvātais risinājums ir saskaņots starp Latvijas Komercbanku asociāciju, </w:t>
            </w:r>
            <w:r w:rsidRPr="00473F49">
              <w:rPr>
                <w:rFonts w:ascii="Times New Roman" w:eastAsia="Times New Roman" w:hAnsi="Times New Roman" w:cs="Times New Roman"/>
                <w:iCs/>
                <w:sz w:val="24"/>
                <w:szCs w:val="24"/>
                <w:lang w:eastAsia="lv-LV"/>
              </w:rPr>
              <w:lastRenderedPageBreak/>
              <w:t xml:space="preserve">Latvijas Līzinga devēju asociāciju, Latvijas Alternatīvo finanšu pakalpojumu asociāciju un Latvijas Apdrošinātāju asociāciju. </w:t>
            </w:r>
          </w:p>
          <w:p w:rsidR="00D250AC" w:rsidRPr="00473F49" w:rsidRDefault="00D250AC" w:rsidP="00D250A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saskaņošanai pirms  Ministru kabineta 2018.gada 19.jūnijā tika rīkota sanāksme. </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0958D3" w:rsidP="000958D3">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Sabiedrība pēc normatīvā akta pieņemšanas tiks informēta ar publikāciju laikrakstā "Latvijas Vēstnesis", kā arī tas tiks ievietots bezmaksas normatīvo aktu datu bāzē www.likumi.lv.</w:t>
            </w:r>
          </w:p>
        </w:tc>
      </w:tr>
    </w:tbl>
    <w:p w:rsidR="00E5323B" w:rsidRPr="008960A2" w:rsidRDefault="00E5323B" w:rsidP="00E5323B">
      <w:pPr>
        <w:spacing w:after="0" w:line="240" w:lineRule="auto"/>
        <w:rPr>
          <w:rFonts w:ascii="Times New Roman" w:eastAsia="Times New Roman" w:hAnsi="Times New Roman" w:cs="Times New Roman"/>
          <w:iCs/>
          <w:color w:val="414142"/>
          <w:sz w:val="24"/>
          <w:szCs w:val="24"/>
          <w:lang w:eastAsia="lv-LV"/>
        </w:rPr>
      </w:pPr>
      <w:r w:rsidRPr="008960A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960A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473F4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73F4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E74E14" w:rsidP="00E74E14">
            <w:pPr>
              <w:spacing w:after="0" w:line="240" w:lineRule="auto"/>
              <w:jc w:val="both"/>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MK noteikumu projekta izpildi nodrošinās NILLTFNL 45.pantā minētās uzraudzības un kontroles institūcijas.</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Projekta izpildes ietekme uz pārvaldes funkcijām un institucionālo struktūru.</w:t>
            </w:r>
            <w:r w:rsidRPr="00473F4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E74E14"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Nav attiecināms</w:t>
            </w:r>
            <w:r w:rsidR="00473F49">
              <w:rPr>
                <w:rFonts w:ascii="Times New Roman" w:eastAsia="Times New Roman" w:hAnsi="Times New Roman" w:cs="Times New Roman"/>
                <w:iCs/>
                <w:sz w:val="24"/>
                <w:szCs w:val="24"/>
                <w:lang w:eastAsia="lv-LV"/>
              </w:rPr>
              <w:t>.</w:t>
            </w:r>
          </w:p>
        </w:tc>
      </w:tr>
      <w:tr w:rsidR="00E5323B" w:rsidRPr="008960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73F49" w:rsidRDefault="00E5323B"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73F49" w:rsidRDefault="00E74E14" w:rsidP="00E5323B">
            <w:pPr>
              <w:spacing w:after="0" w:line="240" w:lineRule="auto"/>
              <w:rPr>
                <w:rFonts w:ascii="Times New Roman" w:eastAsia="Times New Roman" w:hAnsi="Times New Roman" w:cs="Times New Roman"/>
                <w:iCs/>
                <w:sz w:val="24"/>
                <w:szCs w:val="24"/>
                <w:lang w:eastAsia="lv-LV"/>
              </w:rPr>
            </w:pPr>
            <w:r w:rsidRPr="00473F49">
              <w:rPr>
                <w:rFonts w:ascii="Times New Roman" w:eastAsia="Times New Roman" w:hAnsi="Times New Roman" w:cs="Times New Roman"/>
                <w:iCs/>
                <w:sz w:val="24"/>
                <w:szCs w:val="24"/>
                <w:lang w:eastAsia="lv-LV"/>
              </w:rPr>
              <w:t>Nav</w:t>
            </w:r>
            <w:r w:rsidR="00473F49">
              <w:rPr>
                <w:rFonts w:ascii="Times New Roman" w:eastAsia="Times New Roman" w:hAnsi="Times New Roman" w:cs="Times New Roman"/>
                <w:iCs/>
                <w:sz w:val="24"/>
                <w:szCs w:val="24"/>
                <w:lang w:eastAsia="lv-LV"/>
              </w:rPr>
              <w:t>.</w:t>
            </w:r>
          </w:p>
        </w:tc>
      </w:tr>
    </w:tbl>
    <w:p w:rsidR="00C25B49" w:rsidRPr="008960A2" w:rsidRDefault="00C25B49" w:rsidP="00894C55">
      <w:pPr>
        <w:spacing w:after="0" w:line="240" w:lineRule="auto"/>
        <w:rPr>
          <w:rFonts w:ascii="Times New Roman" w:hAnsi="Times New Roman" w:cs="Times New Roman"/>
          <w:sz w:val="28"/>
          <w:szCs w:val="28"/>
        </w:rPr>
      </w:pPr>
    </w:p>
    <w:p w:rsidR="00E5323B" w:rsidRPr="008960A2" w:rsidRDefault="00E5323B" w:rsidP="00894C55">
      <w:pPr>
        <w:spacing w:after="0" w:line="240" w:lineRule="auto"/>
        <w:rPr>
          <w:rFonts w:ascii="Times New Roman" w:hAnsi="Times New Roman" w:cs="Times New Roman"/>
          <w:sz w:val="28"/>
          <w:szCs w:val="28"/>
        </w:rPr>
      </w:pPr>
    </w:p>
    <w:p w:rsidR="00B16DB6" w:rsidRDefault="0051093B" w:rsidP="0051093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sidR="00B16DB6">
        <w:rPr>
          <w:rFonts w:ascii="Times New Roman" w:hAnsi="Times New Roman" w:cs="Times New Roman"/>
          <w:sz w:val="28"/>
          <w:szCs w:val="28"/>
        </w:rPr>
        <w:t>s vietā –</w:t>
      </w:r>
    </w:p>
    <w:p w:rsidR="00894C55" w:rsidRPr="008960A2" w:rsidRDefault="00B16DB6" w:rsidP="0051093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Ministru prezidents</w:t>
      </w:r>
      <w:r w:rsidR="00894C55" w:rsidRPr="008960A2">
        <w:rPr>
          <w:rFonts w:ascii="Times New Roman" w:hAnsi="Times New Roman" w:cs="Times New Roman"/>
          <w:sz w:val="28"/>
          <w:szCs w:val="28"/>
        </w:rPr>
        <w:tab/>
      </w:r>
      <w:r>
        <w:rPr>
          <w:rFonts w:ascii="Times New Roman" w:hAnsi="Times New Roman" w:cs="Times New Roman"/>
          <w:sz w:val="28"/>
          <w:szCs w:val="28"/>
        </w:rPr>
        <w:t>M.Kučinskis</w:t>
      </w:r>
    </w:p>
    <w:p w:rsidR="00894C55" w:rsidRPr="008960A2" w:rsidRDefault="00894C55" w:rsidP="00894C55">
      <w:pPr>
        <w:spacing w:after="0" w:line="240" w:lineRule="auto"/>
        <w:ind w:firstLine="720"/>
        <w:rPr>
          <w:rFonts w:ascii="Times New Roman" w:hAnsi="Times New Roman" w:cs="Times New Roman"/>
          <w:sz w:val="28"/>
          <w:szCs w:val="28"/>
        </w:rPr>
      </w:pPr>
    </w:p>
    <w:p w:rsidR="00894C55" w:rsidRPr="008960A2" w:rsidRDefault="00894C55" w:rsidP="00894C55">
      <w:pPr>
        <w:spacing w:after="0" w:line="240" w:lineRule="auto"/>
        <w:ind w:firstLine="720"/>
        <w:rPr>
          <w:rFonts w:ascii="Times New Roman" w:hAnsi="Times New Roman" w:cs="Times New Roman"/>
          <w:sz w:val="28"/>
          <w:szCs w:val="28"/>
        </w:rPr>
      </w:pPr>
    </w:p>
    <w:p w:rsidR="00894C55" w:rsidRPr="008960A2" w:rsidRDefault="00894C55" w:rsidP="00872417">
      <w:pPr>
        <w:tabs>
          <w:tab w:val="left" w:pos="6237"/>
        </w:tabs>
        <w:spacing w:after="0" w:line="240" w:lineRule="auto"/>
        <w:rPr>
          <w:rFonts w:ascii="Times New Roman" w:hAnsi="Times New Roman" w:cs="Times New Roman"/>
          <w:sz w:val="28"/>
          <w:szCs w:val="28"/>
        </w:rPr>
      </w:pPr>
    </w:p>
    <w:p w:rsidR="00894C55" w:rsidRPr="008960A2" w:rsidRDefault="00894C55" w:rsidP="00894C55">
      <w:pPr>
        <w:tabs>
          <w:tab w:val="left" w:pos="6237"/>
        </w:tabs>
        <w:spacing w:after="0" w:line="240" w:lineRule="auto"/>
        <w:ind w:firstLine="720"/>
        <w:rPr>
          <w:rFonts w:ascii="Times New Roman" w:hAnsi="Times New Roman" w:cs="Times New Roman"/>
          <w:sz w:val="28"/>
          <w:szCs w:val="28"/>
        </w:rPr>
      </w:pPr>
    </w:p>
    <w:p w:rsidR="00894C55" w:rsidRPr="00777DB3" w:rsidRDefault="00AC68AF" w:rsidP="00894C55">
      <w:pPr>
        <w:tabs>
          <w:tab w:val="left" w:pos="6237"/>
        </w:tabs>
        <w:spacing w:after="0" w:line="240" w:lineRule="auto"/>
        <w:rPr>
          <w:rFonts w:ascii="Times New Roman" w:hAnsi="Times New Roman" w:cs="Times New Roman"/>
          <w:sz w:val="20"/>
          <w:szCs w:val="20"/>
        </w:rPr>
      </w:pPr>
      <w:proofErr w:type="spellStart"/>
      <w:r w:rsidRPr="00777DB3">
        <w:rPr>
          <w:rFonts w:ascii="Times New Roman" w:hAnsi="Times New Roman" w:cs="Times New Roman"/>
          <w:sz w:val="20"/>
          <w:szCs w:val="20"/>
        </w:rPr>
        <w:t>Zūkere</w:t>
      </w:r>
      <w:proofErr w:type="spellEnd"/>
      <w:r w:rsidRPr="00777DB3">
        <w:rPr>
          <w:rFonts w:ascii="Times New Roman" w:hAnsi="Times New Roman" w:cs="Times New Roman"/>
          <w:sz w:val="20"/>
          <w:szCs w:val="20"/>
        </w:rPr>
        <w:t xml:space="preserve"> </w:t>
      </w:r>
      <w:r w:rsidR="00D133F8" w:rsidRPr="00777DB3">
        <w:rPr>
          <w:rFonts w:ascii="Times New Roman" w:hAnsi="Times New Roman" w:cs="Times New Roman"/>
          <w:sz w:val="20"/>
          <w:szCs w:val="20"/>
        </w:rPr>
        <w:t>670</w:t>
      </w:r>
      <w:r w:rsidR="00CA60EB" w:rsidRPr="00777DB3">
        <w:rPr>
          <w:rFonts w:ascii="Times New Roman" w:hAnsi="Times New Roman" w:cs="Times New Roman"/>
          <w:sz w:val="20"/>
          <w:szCs w:val="20"/>
        </w:rPr>
        <w:t>95490</w:t>
      </w:r>
    </w:p>
    <w:p w:rsidR="00894C55" w:rsidRPr="00777DB3" w:rsidRDefault="00CA60EB" w:rsidP="00894C55">
      <w:pPr>
        <w:tabs>
          <w:tab w:val="left" w:pos="6237"/>
        </w:tabs>
        <w:spacing w:after="0" w:line="240" w:lineRule="auto"/>
        <w:rPr>
          <w:rFonts w:ascii="Times New Roman" w:hAnsi="Times New Roman" w:cs="Times New Roman"/>
          <w:sz w:val="20"/>
          <w:szCs w:val="20"/>
        </w:rPr>
      </w:pPr>
      <w:r w:rsidRPr="00777DB3">
        <w:rPr>
          <w:rFonts w:ascii="Times New Roman" w:hAnsi="Times New Roman" w:cs="Times New Roman"/>
          <w:sz w:val="20"/>
          <w:szCs w:val="20"/>
        </w:rPr>
        <w:t>vineta</w:t>
      </w:r>
      <w:r w:rsidR="00894C55" w:rsidRPr="00777DB3">
        <w:rPr>
          <w:rFonts w:ascii="Times New Roman" w:hAnsi="Times New Roman" w:cs="Times New Roman"/>
          <w:sz w:val="20"/>
          <w:szCs w:val="20"/>
        </w:rPr>
        <w:t>.</w:t>
      </w:r>
      <w:r w:rsidR="00AC68AF" w:rsidRPr="00777DB3">
        <w:rPr>
          <w:rFonts w:ascii="Times New Roman" w:hAnsi="Times New Roman" w:cs="Times New Roman"/>
          <w:sz w:val="20"/>
          <w:szCs w:val="20"/>
        </w:rPr>
        <w:t>z</w:t>
      </w:r>
      <w:r w:rsidR="00751A6A" w:rsidRPr="00777DB3">
        <w:rPr>
          <w:rFonts w:ascii="Times New Roman" w:hAnsi="Times New Roman" w:cs="Times New Roman"/>
          <w:sz w:val="20"/>
          <w:szCs w:val="20"/>
        </w:rPr>
        <w:t>u</w:t>
      </w:r>
      <w:r w:rsidR="00AC68AF" w:rsidRPr="00777DB3">
        <w:rPr>
          <w:rFonts w:ascii="Times New Roman" w:hAnsi="Times New Roman" w:cs="Times New Roman"/>
          <w:sz w:val="20"/>
          <w:szCs w:val="20"/>
        </w:rPr>
        <w:t>kere</w:t>
      </w:r>
      <w:r w:rsidR="00894C55" w:rsidRPr="00777DB3">
        <w:rPr>
          <w:rFonts w:ascii="Times New Roman" w:hAnsi="Times New Roman" w:cs="Times New Roman"/>
          <w:sz w:val="20"/>
          <w:szCs w:val="20"/>
        </w:rPr>
        <w:t>@</w:t>
      </w:r>
      <w:r w:rsidRPr="00777DB3">
        <w:rPr>
          <w:rFonts w:ascii="Times New Roman" w:hAnsi="Times New Roman" w:cs="Times New Roman"/>
          <w:sz w:val="20"/>
          <w:szCs w:val="20"/>
        </w:rPr>
        <w:t>fm</w:t>
      </w:r>
      <w:r w:rsidR="00894C55" w:rsidRPr="00777DB3">
        <w:rPr>
          <w:rFonts w:ascii="Times New Roman" w:hAnsi="Times New Roman" w:cs="Times New Roman"/>
          <w:sz w:val="20"/>
          <w:szCs w:val="20"/>
        </w:rPr>
        <w:t>.gov.lv</w:t>
      </w:r>
    </w:p>
    <w:sectPr w:rsidR="00894C55" w:rsidRPr="00777DB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20" w:rsidRDefault="00125420" w:rsidP="00894C55">
      <w:pPr>
        <w:spacing w:after="0" w:line="240" w:lineRule="auto"/>
      </w:pPr>
      <w:r>
        <w:separator/>
      </w:r>
    </w:p>
  </w:endnote>
  <w:endnote w:type="continuationSeparator" w:id="0">
    <w:p w:rsidR="00125420" w:rsidRDefault="0012542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BF2895">
    <w:pPr>
      <w:pStyle w:val="Footer"/>
      <w:rPr>
        <w:rFonts w:ascii="Times New Roman" w:hAnsi="Times New Roman" w:cs="Times New Roman"/>
        <w:sz w:val="20"/>
        <w:szCs w:val="20"/>
      </w:rPr>
    </w:pPr>
    <w:r w:rsidRPr="00BF2895">
      <w:rPr>
        <w:rFonts w:ascii="Times New Roman" w:hAnsi="Times New Roman" w:cs="Times New Roman"/>
        <w:sz w:val="20"/>
        <w:szCs w:val="20"/>
      </w:rPr>
      <w:t>FMAnot_2</w:t>
    </w:r>
    <w:r w:rsidR="001E461E">
      <w:rPr>
        <w:rFonts w:ascii="Times New Roman" w:hAnsi="Times New Roman" w:cs="Times New Roman"/>
        <w:sz w:val="20"/>
        <w:szCs w:val="20"/>
      </w:rPr>
      <w:t>0</w:t>
    </w:r>
    <w:r w:rsidRPr="00BF2895">
      <w:rPr>
        <w:rFonts w:ascii="Times New Roman" w:hAnsi="Times New Roman" w:cs="Times New Roman"/>
        <w:sz w:val="20"/>
        <w:szCs w:val="20"/>
      </w:rPr>
      <w:t>0</w:t>
    </w:r>
    <w:r w:rsidR="001E461E">
      <w:rPr>
        <w:rFonts w:ascii="Times New Roman" w:hAnsi="Times New Roman" w:cs="Times New Roman"/>
        <w:sz w:val="20"/>
        <w:szCs w:val="20"/>
      </w:rPr>
      <w:t>6</w:t>
    </w:r>
    <w:r w:rsidRPr="00BF2895">
      <w:rPr>
        <w:rFonts w:ascii="Times New Roman" w:hAnsi="Times New Roman" w:cs="Times New Roman"/>
        <w:sz w:val="20"/>
        <w:szCs w:val="20"/>
      </w:rPr>
      <w:t xml:space="preserve">18_Neklatienes </w:t>
    </w:r>
    <w:proofErr w:type="spellStart"/>
    <w:r w:rsidRPr="00BF2895">
      <w:rPr>
        <w:rFonts w:ascii="Times New Roman" w:hAnsi="Times New Roman" w:cs="Times New Roman"/>
        <w:sz w:val="20"/>
        <w:szCs w:val="20"/>
      </w:rPr>
      <w:t>identifikacija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BF2895">
    <w:pPr>
      <w:pStyle w:val="Footer"/>
      <w:rPr>
        <w:rFonts w:ascii="Times New Roman" w:hAnsi="Times New Roman" w:cs="Times New Roman"/>
        <w:sz w:val="20"/>
        <w:szCs w:val="20"/>
      </w:rPr>
    </w:pPr>
    <w:r w:rsidRPr="00BF2895">
      <w:rPr>
        <w:rFonts w:ascii="Times New Roman" w:hAnsi="Times New Roman" w:cs="Times New Roman"/>
        <w:sz w:val="20"/>
        <w:szCs w:val="20"/>
      </w:rPr>
      <w:t>FMAnot_2</w:t>
    </w:r>
    <w:r w:rsidR="001E461E">
      <w:rPr>
        <w:rFonts w:ascii="Times New Roman" w:hAnsi="Times New Roman" w:cs="Times New Roman"/>
        <w:sz w:val="20"/>
        <w:szCs w:val="20"/>
      </w:rPr>
      <w:t>0</w:t>
    </w:r>
    <w:r w:rsidRPr="00BF2895">
      <w:rPr>
        <w:rFonts w:ascii="Times New Roman" w:hAnsi="Times New Roman" w:cs="Times New Roman"/>
        <w:sz w:val="20"/>
        <w:szCs w:val="20"/>
      </w:rPr>
      <w:t>0</w:t>
    </w:r>
    <w:r w:rsidR="001E461E">
      <w:rPr>
        <w:rFonts w:ascii="Times New Roman" w:hAnsi="Times New Roman" w:cs="Times New Roman"/>
        <w:sz w:val="20"/>
        <w:szCs w:val="20"/>
      </w:rPr>
      <w:t>6</w:t>
    </w:r>
    <w:r w:rsidRPr="00BF2895">
      <w:rPr>
        <w:rFonts w:ascii="Times New Roman" w:hAnsi="Times New Roman" w:cs="Times New Roman"/>
        <w:sz w:val="20"/>
        <w:szCs w:val="20"/>
      </w:rPr>
      <w:t xml:space="preserve">18_Neklatienes </w:t>
    </w:r>
    <w:proofErr w:type="spellStart"/>
    <w:r w:rsidRPr="00BF2895">
      <w:rPr>
        <w:rFonts w:ascii="Times New Roman" w:hAnsi="Times New Roman" w:cs="Times New Roman"/>
        <w:sz w:val="20"/>
        <w:szCs w:val="20"/>
      </w:rPr>
      <w:t>identifikacija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20" w:rsidRDefault="00125420" w:rsidP="00894C55">
      <w:pPr>
        <w:spacing w:after="0" w:line="240" w:lineRule="auto"/>
      </w:pPr>
      <w:r>
        <w:separator/>
      </w:r>
    </w:p>
  </w:footnote>
  <w:footnote w:type="continuationSeparator" w:id="0">
    <w:p w:rsidR="00125420" w:rsidRDefault="00125420" w:rsidP="00894C55">
      <w:pPr>
        <w:spacing w:after="0" w:line="240" w:lineRule="auto"/>
      </w:pPr>
      <w:r>
        <w:continuationSeparator/>
      </w:r>
    </w:p>
  </w:footnote>
  <w:footnote w:id="1">
    <w:p w:rsidR="00B71D4A" w:rsidRPr="00D32C78" w:rsidRDefault="00B71D4A" w:rsidP="00B71D4A">
      <w:pPr>
        <w:pStyle w:val="FootnoteText"/>
        <w:rPr>
          <w:rFonts w:ascii="Verdana" w:hAnsi="Verdana"/>
          <w:sz w:val="16"/>
          <w:szCs w:val="16"/>
        </w:rPr>
      </w:pPr>
      <w:r w:rsidRPr="00D32C78">
        <w:rPr>
          <w:rStyle w:val="FootnoteReference"/>
          <w:rFonts w:ascii="Verdana" w:hAnsi="Verdana"/>
          <w:sz w:val="16"/>
          <w:szCs w:val="16"/>
        </w:rPr>
        <w:footnoteRef/>
      </w:r>
      <w:r w:rsidRPr="00D32C78">
        <w:rPr>
          <w:rFonts w:ascii="Verdana" w:hAnsi="Verdana"/>
          <w:sz w:val="16"/>
          <w:szCs w:val="16"/>
        </w:rPr>
        <w:t xml:space="preserve"> </w:t>
      </w:r>
      <w:r w:rsidRPr="00D32C78">
        <w:rPr>
          <w:rFonts w:ascii="Verdana" w:hAnsi="Verdana"/>
          <w:sz w:val="16"/>
          <w:szCs w:val="16"/>
          <w:lang w:val="en-GB"/>
        </w:rPr>
        <w:t xml:space="preserve">European Commission Consultation Document. Fintech: a more competitive and innovative European financial sector. Available at: </w:t>
      </w:r>
      <w:hyperlink r:id="rId1" w:history="1">
        <w:r w:rsidRPr="00D32C78">
          <w:rPr>
            <w:rStyle w:val="Hyperlink"/>
            <w:rFonts w:ascii="Verdana" w:hAnsi="Verdana"/>
            <w:sz w:val="16"/>
            <w:szCs w:val="16"/>
            <w:lang w:val="en-GB"/>
          </w:rPr>
          <w:t>https://ec.europa.eu/info/sites/info/files/2017-fintech-consultation-document_en_0.pdf</w:t>
        </w:r>
      </w:hyperlink>
      <w:r w:rsidRPr="00D32C78">
        <w:rPr>
          <w:rFonts w:ascii="Verdana" w:hAnsi="Verdana"/>
          <w:sz w:val="16"/>
          <w:szCs w:val="16"/>
        </w:rPr>
        <w:t xml:space="preserve"> </w:t>
      </w:r>
    </w:p>
  </w:footnote>
  <w:footnote w:id="2">
    <w:p w:rsidR="00B71D4A" w:rsidRPr="00D32C78" w:rsidRDefault="00B71D4A" w:rsidP="00B71D4A">
      <w:pPr>
        <w:pStyle w:val="FootnoteText"/>
        <w:rPr>
          <w:rFonts w:ascii="Verdana" w:hAnsi="Verdana"/>
          <w:sz w:val="16"/>
          <w:szCs w:val="16"/>
        </w:rPr>
      </w:pPr>
      <w:r w:rsidRPr="00D32C78">
        <w:rPr>
          <w:rStyle w:val="FootnoteReference"/>
          <w:rFonts w:ascii="Verdana" w:hAnsi="Verdana"/>
          <w:sz w:val="16"/>
          <w:szCs w:val="16"/>
        </w:rPr>
        <w:footnoteRef/>
      </w:r>
      <w:r w:rsidRPr="00D32C78">
        <w:rPr>
          <w:rFonts w:ascii="Verdana" w:hAnsi="Verdana"/>
          <w:sz w:val="16"/>
          <w:szCs w:val="16"/>
        </w:rPr>
        <w:t xml:space="preserve"> Komisijas paziņojums Eiropas parlamentam, padomei, Eiropas ekonomikas un sociālo lietu komitejai un reģionu komitejai Digitālā vienotā tirgus stratēģija Eiropai. Pieejams:</w:t>
      </w:r>
    </w:p>
    <w:p w:rsidR="00B71D4A" w:rsidRPr="00D32C78" w:rsidRDefault="00125420" w:rsidP="00B71D4A">
      <w:pPr>
        <w:pStyle w:val="FootnoteText"/>
        <w:rPr>
          <w:rFonts w:ascii="Verdana" w:hAnsi="Verdana"/>
          <w:sz w:val="16"/>
          <w:szCs w:val="16"/>
        </w:rPr>
      </w:pPr>
      <w:hyperlink r:id="rId2" w:history="1">
        <w:r w:rsidR="00B71D4A" w:rsidRPr="00D32C78">
          <w:rPr>
            <w:rStyle w:val="Hyperlink"/>
            <w:rFonts w:ascii="Verdana" w:hAnsi="Verdana"/>
            <w:sz w:val="16"/>
            <w:szCs w:val="16"/>
          </w:rPr>
          <w:t>http://eur-lex.europa.eu/legal-content/LV/TXT/PDF/?uri=CELEX:52015DC0192&amp;from=EN</w:t>
        </w:r>
      </w:hyperlink>
      <w:r w:rsidR="00B71D4A" w:rsidRPr="00D32C78">
        <w:rPr>
          <w:rFonts w:ascii="Verdana" w:hAnsi="Verdana"/>
          <w:sz w:val="16"/>
          <w:szCs w:val="16"/>
        </w:rPr>
        <w:t xml:space="preserve"> </w:t>
      </w:r>
    </w:p>
  </w:footnote>
  <w:footnote w:id="3">
    <w:p w:rsidR="007B7211" w:rsidRPr="00D32C78" w:rsidRDefault="007B7211" w:rsidP="007B7211">
      <w:pPr>
        <w:pStyle w:val="FootnoteText"/>
        <w:rPr>
          <w:rFonts w:ascii="Verdana" w:hAnsi="Verdana"/>
          <w:sz w:val="16"/>
          <w:szCs w:val="16"/>
        </w:rPr>
      </w:pPr>
      <w:r w:rsidRPr="00D32C78">
        <w:rPr>
          <w:rStyle w:val="FootnoteReference"/>
          <w:rFonts w:ascii="Verdana" w:hAnsi="Verdana"/>
          <w:sz w:val="16"/>
          <w:szCs w:val="16"/>
        </w:rPr>
        <w:footnoteRef/>
      </w:r>
      <w:r w:rsidRPr="00D32C78">
        <w:rPr>
          <w:rFonts w:ascii="Verdana" w:hAnsi="Verdana"/>
          <w:sz w:val="16"/>
          <w:szCs w:val="16"/>
        </w:rPr>
        <w:t xml:space="preserve"> </w:t>
      </w:r>
      <w:r w:rsidRPr="00D32C78">
        <w:rPr>
          <w:rFonts w:ascii="Verdana" w:hAnsi="Verdana"/>
          <w:sz w:val="16"/>
          <w:szCs w:val="16"/>
          <w:lang w:val="en-GB"/>
        </w:rPr>
        <w:t>European Supervisory Authorities joint committee: “Opinion on the use of innovative solutions by credit and financial institutions in the customer due diligence process”. Available at</w:t>
      </w:r>
      <w:r w:rsidRPr="00D32C78">
        <w:rPr>
          <w:rFonts w:ascii="Verdana" w:hAnsi="Verdana"/>
          <w:sz w:val="16"/>
          <w:szCs w:val="16"/>
        </w:rPr>
        <w:t xml:space="preserve">: </w:t>
      </w:r>
      <w:hyperlink r:id="rId3" w:history="1">
        <w:r w:rsidRPr="00D32C78">
          <w:rPr>
            <w:rStyle w:val="Hyperlink"/>
            <w:rFonts w:ascii="Verdana" w:hAnsi="Verdana"/>
            <w:sz w:val="16"/>
            <w:szCs w:val="16"/>
          </w:rPr>
          <w:t>https://esas-joint-committee.europa.eu/Publications/Opinions/Opinion%20on%20the%20use%20of%20innovative%20solutions%20by%20credit%20and%20financial%20institutions%20(JC-2017-81).pdf</w:t>
        </w:r>
      </w:hyperlink>
      <w:r w:rsidRPr="00D32C78">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3557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B31CE"/>
    <w:multiLevelType w:val="multilevel"/>
    <w:tmpl w:val="5B449DB6"/>
    <w:lvl w:ilvl="0">
      <w:start w:val="2"/>
      <w:numFmt w:val="decimal"/>
      <w:lvlText w:val="%1."/>
      <w:lvlJc w:val="left"/>
      <w:pPr>
        <w:ind w:left="720" w:hanging="360"/>
      </w:pPr>
      <w:rPr>
        <w:rFonts w:hint="default"/>
        <w:b/>
      </w:rPr>
    </w:lvl>
    <w:lvl w:ilvl="1">
      <w:start w:val="1"/>
      <w:numFmt w:val="decimal"/>
      <w:lvlText w:val="[%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2C77D57"/>
    <w:multiLevelType w:val="hybridMultilevel"/>
    <w:tmpl w:val="7070F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A7D"/>
    <w:rsid w:val="00043AD1"/>
    <w:rsid w:val="0005645E"/>
    <w:rsid w:val="00071199"/>
    <w:rsid w:val="000850CC"/>
    <w:rsid w:val="000958D3"/>
    <w:rsid w:val="000A454E"/>
    <w:rsid w:val="000C0633"/>
    <w:rsid w:val="000F7190"/>
    <w:rsid w:val="00102F05"/>
    <w:rsid w:val="001050EF"/>
    <w:rsid w:val="00125420"/>
    <w:rsid w:val="001341DC"/>
    <w:rsid w:val="0015282E"/>
    <w:rsid w:val="00172CEA"/>
    <w:rsid w:val="0018334C"/>
    <w:rsid w:val="001966A8"/>
    <w:rsid w:val="001B6A66"/>
    <w:rsid w:val="001B7D26"/>
    <w:rsid w:val="001C4539"/>
    <w:rsid w:val="001E461E"/>
    <w:rsid w:val="00217413"/>
    <w:rsid w:val="00243426"/>
    <w:rsid w:val="00245F0B"/>
    <w:rsid w:val="00255A36"/>
    <w:rsid w:val="0027270A"/>
    <w:rsid w:val="002741ED"/>
    <w:rsid w:val="0028322D"/>
    <w:rsid w:val="00283D2A"/>
    <w:rsid w:val="002901DA"/>
    <w:rsid w:val="002911F9"/>
    <w:rsid w:val="0029635F"/>
    <w:rsid w:val="002E1C05"/>
    <w:rsid w:val="002F41A4"/>
    <w:rsid w:val="0032780C"/>
    <w:rsid w:val="00334325"/>
    <w:rsid w:val="00361C84"/>
    <w:rsid w:val="00374462"/>
    <w:rsid w:val="003B0BF9"/>
    <w:rsid w:val="003C3CAC"/>
    <w:rsid w:val="003E0791"/>
    <w:rsid w:val="003F2249"/>
    <w:rsid w:val="003F28AC"/>
    <w:rsid w:val="00435578"/>
    <w:rsid w:val="004454FE"/>
    <w:rsid w:val="00456E40"/>
    <w:rsid w:val="0046296F"/>
    <w:rsid w:val="00471F27"/>
    <w:rsid w:val="00473F49"/>
    <w:rsid w:val="004B6F00"/>
    <w:rsid w:val="004C1834"/>
    <w:rsid w:val="004C4714"/>
    <w:rsid w:val="004E4098"/>
    <w:rsid w:val="004E49BD"/>
    <w:rsid w:val="004E6EFD"/>
    <w:rsid w:val="0050178F"/>
    <w:rsid w:val="00507EB6"/>
    <w:rsid w:val="0051093B"/>
    <w:rsid w:val="00522D09"/>
    <w:rsid w:val="00561DF1"/>
    <w:rsid w:val="00564E90"/>
    <w:rsid w:val="00580027"/>
    <w:rsid w:val="00581202"/>
    <w:rsid w:val="00584EE3"/>
    <w:rsid w:val="00595A05"/>
    <w:rsid w:val="005A2CA1"/>
    <w:rsid w:val="005A4417"/>
    <w:rsid w:val="005B5C31"/>
    <w:rsid w:val="005F1207"/>
    <w:rsid w:val="006233B3"/>
    <w:rsid w:val="00634EAD"/>
    <w:rsid w:val="00660165"/>
    <w:rsid w:val="00676378"/>
    <w:rsid w:val="00690EB9"/>
    <w:rsid w:val="0069760F"/>
    <w:rsid w:val="006A3791"/>
    <w:rsid w:val="006A6A55"/>
    <w:rsid w:val="006B62CA"/>
    <w:rsid w:val="006E1081"/>
    <w:rsid w:val="00701536"/>
    <w:rsid w:val="00720585"/>
    <w:rsid w:val="00751A6A"/>
    <w:rsid w:val="00773AF6"/>
    <w:rsid w:val="00774513"/>
    <w:rsid w:val="00777DB3"/>
    <w:rsid w:val="00795F71"/>
    <w:rsid w:val="007A0AEC"/>
    <w:rsid w:val="007B7211"/>
    <w:rsid w:val="007E1242"/>
    <w:rsid w:val="007E2CC4"/>
    <w:rsid w:val="007E73AB"/>
    <w:rsid w:val="007E74E4"/>
    <w:rsid w:val="007F4EAD"/>
    <w:rsid w:val="00810655"/>
    <w:rsid w:val="00816C11"/>
    <w:rsid w:val="0083114E"/>
    <w:rsid w:val="00845B97"/>
    <w:rsid w:val="00855E4B"/>
    <w:rsid w:val="00872417"/>
    <w:rsid w:val="00890A6B"/>
    <w:rsid w:val="00894C55"/>
    <w:rsid w:val="008960A2"/>
    <w:rsid w:val="008A33A2"/>
    <w:rsid w:val="008B52C7"/>
    <w:rsid w:val="008E48B5"/>
    <w:rsid w:val="00932F93"/>
    <w:rsid w:val="0094231B"/>
    <w:rsid w:val="009734B2"/>
    <w:rsid w:val="00976464"/>
    <w:rsid w:val="009776DC"/>
    <w:rsid w:val="009915E7"/>
    <w:rsid w:val="009A2654"/>
    <w:rsid w:val="009A5DF9"/>
    <w:rsid w:val="009C49D8"/>
    <w:rsid w:val="009C71B1"/>
    <w:rsid w:val="009E1AA1"/>
    <w:rsid w:val="009E4E7E"/>
    <w:rsid w:val="00A10FC3"/>
    <w:rsid w:val="00A277D8"/>
    <w:rsid w:val="00A44E31"/>
    <w:rsid w:val="00A45500"/>
    <w:rsid w:val="00A6073E"/>
    <w:rsid w:val="00AB6857"/>
    <w:rsid w:val="00AC32BC"/>
    <w:rsid w:val="00AC68AF"/>
    <w:rsid w:val="00AE00BB"/>
    <w:rsid w:val="00AE2E93"/>
    <w:rsid w:val="00AE5567"/>
    <w:rsid w:val="00B16480"/>
    <w:rsid w:val="00B16DB6"/>
    <w:rsid w:val="00B2165C"/>
    <w:rsid w:val="00B31F26"/>
    <w:rsid w:val="00B34B7B"/>
    <w:rsid w:val="00B3740F"/>
    <w:rsid w:val="00B37FF2"/>
    <w:rsid w:val="00B63B96"/>
    <w:rsid w:val="00B66937"/>
    <w:rsid w:val="00B71D4A"/>
    <w:rsid w:val="00BA20AA"/>
    <w:rsid w:val="00BC3DCA"/>
    <w:rsid w:val="00BD4425"/>
    <w:rsid w:val="00BF2895"/>
    <w:rsid w:val="00BF494F"/>
    <w:rsid w:val="00C115B9"/>
    <w:rsid w:val="00C2508B"/>
    <w:rsid w:val="00C25B49"/>
    <w:rsid w:val="00C6002C"/>
    <w:rsid w:val="00C65253"/>
    <w:rsid w:val="00C72187"/>
    <w:rsid w:val="00C83626"/>
    <w:rsid w:val="00CA0189"/>
    <w:rsid w:val="00CA60EB"/>
    <w:rsid w:val="00CB0F82"/>
    <w:rsid w:val="00CD526E"/>
    <w:rsid w:val="00CD5478"/>
    <w:rsid w:val="00CE5657"/>
    <w:rsid w:val="00D133F8"/>
    <w:rsid w:val="00D14A3E"/>
    <w:rsid w:val="00D17931"/>
    <w:rsid w:val="00D23F46"/>
    <w:rsid w:val="00D250AC"/>
    <w:rsid w:val="00D36538"/>
    <w:rsid w:val="00D42F7F"/>
    <w:rsid w:val="00D97AD0"/>
    <w:rsid w:val="00DA5B07"/>
    <w:rsid w:val="00DF00AD"/>
    <w:rsid w:val="00DF12BC"/>
    <w:rsid w:val="00DF64D8"/>
    <w:rsid w:val="00E01F2C"/>
    <w:rsid w:val="00E04B4A"/>
    <w:rsid w:val="00E3716B"/>
    <w:rsid w:val="00E43CBB"/>
    <w:rsid w:val="00E5323B"/>
    <w:rsid w:val="00E537C2"/>
    <w:rsid w:val="00E62AA8"/>
    <w:rsid w:val="00E73D87"/>
    <w:rsid w:val="00E74E14"/>
    <w:rsid w:val="00E8749E"/>
    <w:rsid w:val="00E90C01"/>
    <w:rsid w:val="00E948C9"/>
    <w:rsid w:val="00E95FEF"/>
    <w:rsid w:val="00EA06CC"/>
    <w:rsid w:val="00EA486E"/>
    <w:rsid w:val="00EC43B3"/>
    <w:rsid w:val="00F10C77"/>
    <w:rsid w:val="00F110E9"/>
    <w:rsid w:val="00F57B0C"/>
    <w:rsid w:val="00F607D2"/>
    <w:rsid w:val="00F7245E"/>
    <w:rsid w:val="00F74D82"/>
    <w:rsid w:val="00FB5E19"/>
    <w:rsid w:val="00FB758D"/>
    <w:rsid w:val="00FD5983"/>
    <w:rsid w:val="00FE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57FA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B71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D4A"/>
    <w:rPr>
      <w:sz w:val="20"/>
      <w:szCs w:val="20"/>
    </w:rPr>
  </w:style>
  <w:style w:type="character" w:styleId="FootnoteReference">
    <w:name w:val="footnote reference"/>
    <w:basedOn w:val="DefaultParagraphFont"/>
    <w:uiPriority w:val="99"/>
    <w:semiHidden/>
    <w:unhideWhenUsed/>
    <w:rsid w:val="00B71D4A"/>
    <w:rPr>
      <w:vertAlign w:val="superscript"/>
    </w:rPr>
  </w:style>
  <w:style w:type="paragraph" w:styleId="ListParagraph">
    <w:name w:val="List Paragraph"/>
    <w:basedOn w:val="Normal"/>
    <w:uiPriority w:val="34"/>
    <w:qFormat/>
    <w:rsid w:val="00B71D4A"/>
    <w:pPr>
      <w:ind w:left="720"/>
      <w:contextualSpacing/>
    </w:pPr>
  </w:style>
  <w:style w:type="character" w:styleId="Strong">
    <w:name w:val="Strong"/>
    <w:basedOn w:val="DefaultParagraphFont"/>
    <w:uiPriority w:val="22"/>
    <w:qFormat/>
    <w:rsid w:val="007E74E4"/>
    <w:rPr>
      <w:b/>
      <w:bCs/>
    </w:rPr>
  </w:style>
  <w:style w:type="character" w:styleId="Emphasis">
    <w:name w:val="Emphasis"/>
    <w:basedOn w:val="DefaultParagraphFont"/>
    <w:uiPriority w:val="20"/>
    <w:qFormat/>
    <w:rsid w:val="007E74E4"/>
    <w:rPr>
      <w:i/>
      <w:iCs/>
    </w:rPr>
  </w:style>
  <w:style w:type="character" w:styleId="CommentReference">
    <w:name w:val="annotation reference"/>
    <w:basedOn w:val="DefaultParagraphFont"/>
    <w:uiPriority w:val="99"/>
    <w:semiHidden/>
    <w:unhideWhenUsed/>
    <w:rsid w:val="00690EB9"/>
    <w:rPr>
      <w:sz w:val="16"/>
      <w:szCs w:val="16"/>
    </w:rPr>
  </w:style>
  <w:style w:type="paragraph" w:styleId="CommentText">
    <w:name w:val="annotation text"/>
    <w:basedOn w:val="Normal"/>
    <w:link w:val="CommentTextChar"/>
    <w:uiPriority w:val="99"/>
    <w:semiHidden/>
    <w:unhideWhenUsed/>
    <w:rsid w:val="00690EB9"/>
    <w:pPr>
      <w:spacing w:line="240" w:lineRule="auto"/>
    </w:pPr>
    <w:rPr>
      <w:sz w:val="20"/>
      <w:szCs w:val="20"/>
    </w:rPr>
  </w:style>
  <w:style w:type="character" w:customStyle="1" w:styleId="CommentTextChar">
    <w:name w:val="Comment Text Char"/>
    <w:basedOn w:val="DefaultParagraphFont"/>
    <w:link w:val="CommentText"/>
    <w:uiPriority w:val="99"/>
    <w:semiHidden/>
    <w:rsid w:val="00690E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459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72502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sas-joint-committee.europa.eu/Publications/Opinions/Opinion%20on%20the%20use%20of%20innovative%20solutions%20by%20credit%20and%20financial%20institutions%20(JC-2017-81).pdf" TargetMode="External"/><Relationship Id="rId2" Type="http://schemas.openxmlformats.org/officeDocument/2006/relationships/hyperlink" Target="http://eur-lex.europa.eu/legal-content/LV/TXT/PDF/?uri=CELEX:52015DC0192&amp;from=EN" TargetMode="External"/><Relationship Id="rId1" Type="http://schemas.openxmlformats.org/officeDocument/2006/relationships/hyperlink" Target="https://ec.europa.eu/info/sites/info/files/2017-fintech-consultation-document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13250</Words>
  <Characters>7553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projekta “Noteikumu kārtība un apjoms, kādā Noziedzīgi iegūtu līdzekļu legalizācijas un terorisma finansēšanas novēršanas likuma subjekts veic klienta neklātienes identifikāciju” sākotnējās ietekmes novērtējuma ziņojums (anotāc</vt:lpstr>
    </vt:vector>
  </TitlesOfParts>
  <Company>Finanšu ministrija</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“Noteikumu kārtība un apjoms, kādā Noziedzīgi iegūtu līdzekļu legalizācijas un terorisma finansēšanas novēršanas likuma subjekts veic klienta neklātienes identifikāciju” sākotnējās ietekmes novērtējuma ziņojums (anotācija)</dc:title>
  <dc:subject>Anotācija</dc:subject>
  <dc:creator>Vineta Zūkere</dc:creator>
  <dc:description>670954905, vineta.zukere@fm.gov.lv</dc:description>
  <cp:lastModifiedBy>Vineta Neija</cp:lastModifiedBy>
  <cp:revision>45</cp:revision>
  <cp:lastPrinted>2018-06-21T07:05:00Z</cp:lastPrinted>
  <dcterms:created xsi:type="dcterms:W3CDTF">2018-06-20T05:35:00Z</dcterms:created>
  <dcterms:modified xsi:type="dcterms:W3CDTF">2018-06-21T07:31:00Z</dcterms:modified>
</cp:coreProperties>
</file>